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A5B52" w14:textId="77777777" w:rsidR="00DE6094" w:rsidRDefault="00DE6094" w:rsidP="00DE6094">
      <w:pPr>
        <w:jc w:val="center"/>
        <w:rPr>
          <w:b/>
        </w:rPr>
      </w:pPr>
      <w:r>
        <w:rPr>
          <w:b/>
        </w:rPr>
        <w:t>UNITED STATES DISTRICT COURT</w:t>
      </w:r>
    </w:p>
    <w:p w14:paraId="375E3E9E" w14:textId="77777777" w:rsidR="00F71A23" w:rsidRDefault="00F71A23" w:rsidP="00DE6094">
      <w:pPr>
        <w:jc w:val="center"/>
        <w:rPr>
          <w:b/>
        </w:rPr>
      </w:pPr>
    </w:p>
    <w:p w14:paraId="35950778" w14:textId="77777777" w:rsidR="00DE6094" w:rsidRDefault="00DE6094" w:rsidP="00DE6094">
      <w:pPr>
        <w:jc w:val="center"/>
        <w:rPr>
          <w:b/>
        </w:rPr>
      </w:pPr>
      <w:r>
        <w:rPr>
          <w:b/>
        </w:rPr>
        <w:t>DISTRICT OF MOOT</w:t>
      </w:r>
    </w:p>
    <w:p w14:paraId="314C58CB" w14:textId="77777777" w:rsidR="00DE6094" w:rsidRDefault="00DE6094" w:rsidP="00DE6094">
      <w:pPr>
        <w:pBdr>
          <w:bottom w:val="single" w:sz="6" w:space="1" w:color="auto"/>
        </w:pBdr>
        <w:jc w:val="center"/>
        <w:rPr>
          <w:b/>
        </w:rPr>
      </w:pPr>
    </w:p>
    <w:p w14:paraId="58F72130" w14:textId="77777777" w:rsidR="00DE6094" w:rsidRDefault="00DE6094" w:rsidP="00DE6094">
      <w:pPr>
        <w:jc w:val="center"/>
        <w:rPr>
          <w:b/>
        </w:rPr>
      </w:pPr>
    </w:p>
    <w:tbl>
      <w:tblPr>
        <w:tblW w:w="0" w:type="auto"/>
        <w:tblLayout w:type="fixed"/>
        <w:tblLook w:val="0000" w:firstRow="0" w:lastRow="0" w:firstColumn="0" w:lastColumn="0" w:noHBand="0" w:noVBand="0"/>
      </w:tblPr>
      <w:tblGrid>
        <w:gridCol w:w="4428"/>
        <w:gridCol w:w="4428"/>
      </w:tblGrid>
      <w:tr w:rsidR="00DE6094" w14:paraId="230762BA" w14:textId="77777777" w:rsidTr="003730E7">
        <w:tc>
          <w:tcPr>
            <w:tcW w:w="4428" w:type="dxa"/>
          </w:tcPr>
          <w:p w14:paraId="1BC1062E" w14:textId="77777777" w:rsidR="00DE6094" w:rsidRDefault="00F71A23" w:rsidP="003730E7">
            <w:pPr>
              <w:pStyle w:val="Footer"/>
              <w:widowControl w:val="0"/>
              <w:tabs>
                <w:tab w:val="clear" w:pos="4320"/>
                <w:tab w:val="clear" w:pos="8640"/>
              </w:tabs>
              <w:rPr>
                <w:snapToGrid w:val="0"/>
              </w:rPr>
            </w:pPr>
            <w:r>
              <w:rPr>
                <w:snapToGrid w:val="0"/>
              </w:rPr>
              <w:t>OGS TV, Inc</w:t>
            </w:r>
            <w:r w:rsidR="00DE6094">
              <w:rPr>
                <w:snapToGrid w:val="0"/>
              </w:rPr>
              <w:t>.</w:t>
            </w:r>
            <w:r w:rsidR="00A570CC">
              <w:rPr>
                <w:snapToGrid w:val="0"/>
              </w:rPr>
              <w:t>,</w:t>
            </w:r>
          </w:p>
          <w:p w14:paraId="5716E116" w14:textId="77777777" w:rsidR="00DE6094" w:rsidRDefault="00DE6094" w:rsidP="003730E7">
            <w:pPr>
              <w:pStyle w:val="Footer"/>
              <w:widowControl w:val="0"/>
              <w:tabs>
                <w:tab w:val="clear" w:pos="4320"/>
                <w:tab w:val="clear" w:pos="8640"/>
              </w:tabs>
              <w:rPr>
                <w:snapToGrid w:val="0"/>
              </w:rPr>
            </w:pPr>
            <w:r>
              <w:rPr>
                <w:snapToGrid w:val="0"/>
              </w:rPr>
              <w:t xml:space="preserve">  </w:t>
            </w:r>
          </w:p>
          <w:p w14:paraId="23C5E2AF" w14:textId="77777777" w:rsidR="00DE6094" w:rsidRDefault="00DE6094" w:rsidP="003730E7">
            <w:pPr>
              <w:pStyle w:val="Footer"/>
              <w:widowControl w:val="0"/>
              <w:tabs>
                <w:tab w:val="clear" w:pos="4320"/>
                <w:tab w:val="clear" w:pos="8640"/>
              </w:tabs>
              <w:rPr>
                <w:snapToGrid w:val="0"/>
              </w:rPr>
            </w:pPr>
            <w:r>
              <w:rPr>
                <w:snapToGrid w:val="0"/>
              </w:rPr>
              <w:t xml:space="preserve">                        Plaintiff,</w:t>
            </w:r>
          </w:p>
        </w:tc>
        <w:tc>
          <w:tcPr>
            <w:tcW w:w="4428" w:type="dxa"/>
          </w:tcPr>
          <w:p w14:paraId="7996174E" w14:textId="77777777" w:rsidR="00E66CE5" w:rsidRDefault="00DE6094" w:rsidP="00E66CE5">
            <w:pPr>
              <w:pStyle w:val="Footer"/>
              <w:widowControl w:val="0"/>
              <w:tabs>
                <w:tab w:val="clear" w:pos="4320"/>
                <w:tab w:val="clear" w:pos="8640"/>
              </w:tabs>
              <w:rPr>
                <w:snapToGrid w:val="0"/>
              </w:rPr>
            </w:pPr>
            <w:r>
              <w:rPr>
                <w:snapToGrid w:val="0"/>
              </w:rPr>
              <w:t xml:space="preserve">               </w:t>
            </w:r>
          </w:p>
          <w:p w14:paraId="0E091356" w14:textId="77777777" w:rsidR="00E66CE5" w:rsidRDefault="00E66CE5" w:rsidP="00E66CE5"/>
          <w:p w14:paraId="0D37716F" w14:textId="77777777" w:rsidR="00DE6094" w:rsidRPr="00E66CE5" w:rsidRDefault="00E66CE5" w:rsidP="0053690F">
            <w:pPr>
              <w:tabs>
                <w:tab w:val="left" w:pos="930"/>
              </w:tabs>
              <w:jc w:val="right"/>
            </w:pPr>
            <w:r>
              <w:tab/>
            </w:r>
            <w:r w:rsidRPr="00E66CE5">
              <w:t>Court File No. 27-CV-12-1234</w:t>
            </w:r>
          </w:p>
        </w:tc>
      </w:tr>
      <w:tr w:rsidR="00DE6094" w14:paraId="239B9BB2" w14:textId="77777777" w:rsidTr="00DE6094">
        <w:trPr>
          <w:trHeight w:val="585"/>
        </w:trPr>
        <w:tc>
          <w:tcPr>
            <w:tcW w:w="4428" w:type="dxa"/>
          </w:tcPr>
          <w:p w14:paraId="6D634445" w14:textId="77777777" w:rsidR="00DE6094" w:rsidRDefault="00DE6094" w:rsidP="003730E7">
            <w:pPr>
              <w:pStyle w:val="Footer"/>
              <w:widowControl w:val="0"/>
              <w:tabs>
                <w:tab w:val="clear" w:pos="4320"/>
                <w:tab w:val="clear" w:pos="8640"/>
              </w:tabs>
              <w:rPr>
                <w:snapToGrid w:val="0"/>
              </w:rPr>
            </w:pPr>
          </w:p>
          <w:p w14:paraId="143F0EF1" w14:textId="77777777" w:rsidR="00DE6094" w:rsidRDefault="003B61A4" w:rsidP="003730E7">
            <w:pPr>
              <w:pStyle w:val="Footer"/>
              <w:widowControl w:val="0"/>
              <w:tabs>
                <w:tab w:val="clear" w:pos="4320"/>
                <w:tab w:val="clear" w:pos="8640"/>
              </w:tabs>
              <w:rPr>
                <w:snapToGrid w:val="0"/>
              </w:rPr>
            </w:pPr>
            <w:r>
              <w:rPr>
                <w:snapToGrid w:val="0"/>
              </w:rPr>
              <w:t xml:space="preserve">     </w:t>
            </w:r>
            <w:r w:rsidR="00DE6094">
              <w:rPr>
                <w:snapToGrid w:val="0"/>
              </w:rPr>
              <w:t>v.</w:t>
            </w:r>
          </w:p>
        </w:tc>
        <w:tc>
          <w:tcPr>
            <w:tcW w:w="4428" w:type="dxa"/>
          </w:tcPr>
          <w:p w14:paraId="522D0167" w14:textId="77777777" w:rsidR="00DE6094" w:rsidRDefault="00F10871" w:rsidP="0053690F">
            <w:pPr>
              <w:jc w:val="right"/>
            </w:pPr>
            <w:r>
              <w:t>Honorable</w:t>
            </w:r>
            <w:r w:rsidR="0053690F">
              <w:t xml:space="preserve"> Beatrice Fair</w:t>
            </w:r>
          </w:p>
        </w:tc>
      </w:tr>
      <w:tr w:rsidR="00DE6094" w14:paraId="4AFDCEA7" w14:textId="77777777" w:rsidTr="00DE6094">
        <w:trPr>
          <w:trHeight w:val="1170"/>
        </w:trPr>
        <w:tc>
          <w:tcPr>
            <w:tcW w:w="4428" w:type="dxa"/>
          </w:tcPr>
          <w:p w14:paraId="23B0B5E3" w14:textId="77777777" w:rsidR="00DE6094" w:rsidRDefault="00DE6094" w:rsidP="003730E7">
            <w:pPr>
              <w:pStyle w:val="Footer"/>
              <w:widowControl w:val="0"/>
              <w:tabs>
                <w:tab w:val="clear" w:pos="4320"/>
                <w:tab w:val="clear" w:pos="8640"/>
              </w:tabs>
              <w:rPr>
                <w:snapToGrid w:val="0"/>
              </w:rPr>
            </w:pPr>
          </w:p>
          <w:p w14:paraId="4D3E7E1C" w14:textId="77777777" w:rsidR="00DE6094" w:rsidRDefault="00F71A23" w:rsidP="003730E7">
            <w:pPr>
              <w:pStyle w:val="Footer"/>
              <w:widowControl w:val="0"/>
              <w:tabs>
                <w:tab w:val="clear" w:pos="4320"/>
                <w:tab w:val="clear" w:pos="8640"/>
              </w:tabs>
              <w:rPr>
                <w:snapToGrid w:val="0"/>
              </w:rPr>
            </w:pPr>
            <w:r>
              <w:rPr>
                <w:snapToGrid w:val="0"/>
              </w:rPr>
              <w:t xml:space="preserve">Elizabeth Lime, and </w:t>
            </w:r>
            <w:proofErr w:type="spellStart"/>
            <w:r>
              <w:rPr>
                <w:snapToGrid w:val="0"/>
              </w:rPr>
              <w:t>TinyTV</w:t>
            </w:r>
            <w:proofErr w:type="spellEnd"/>
            <w:r>
              <w:rPr>
                <w:snapToGrid w:val="0"/>
              </w:rPr>
              <w:t>, Inc</w:t>
            </w:r>
            <w:r w:rsidR="00DE6094">
              <w:rPr>
                <w:snapToGrid w:val="0"/>
              </w:rPr>
              <w:t>.</w:t>
            </w:r>
          </w:p>
          <w:p w14:paraId="7178DE4C" w14:textId="77777777" w:rsidR="00DE6094" w:rsidRDefault="00DE6094" w:rsidP="003730E7">
            <w:pPr>
              <w:pStyle w:val="Footer"/>
              <w:widowControl w:val="0"/>
              <w:tabs>
                <w:tab w:val="clear" w:pos="4320"/>
                <w:tab w:val="clear" w:pos="8640"/>
              </w:tabs>
              <w:rPr>
                <w:snapToGrid w:val="0"/>
              </w:rPr>
            </w:pPr>
          </w:p>
          <w:p w14:paraId="44F4F98D" w14:textId="77777777" w:rsidR="00DE6094" w:rsidRDefault="00DE6094" w:rsidP="003730E7">
            <w:pPr>
              <w:pStyle w:val="Footer"/>
              <w:widowControl w:val="0"/>
              <w:tabs>
                <w:tab w:val="clear" w:pos="4320"/>
                <w:tab w:val="clear" w:pos="8640"/>
              </w:tabs>
              <w:rPr>
                <w:snapToGrid w:val="0"/>
              </w:rPr>
            </w:pPr>
            <w:r>
              <w:rPr>
                <w:snapToGrid w:val="0"/>
              </w:rPr>
              <w:t xml:space="preserve">                        Defendants</w:t>
            </w:r>
            <w:proofErr w:type="gramStart"/>
            <w:r>
              <w:rPr>
                <w:snapToGrid w:val="0"/>
              </w:rPr>
              <w:t>.</w:t>
            </w:r>
            <w:r w:rsidR="00A570CC">
              <w:rPr>
                <w:snapToGrid w:val="0"/>
              </w:rPr>
              <w:t>,</w:t>
            </w:r>
            <w:proofErr w:type="gramEnd"/>
          </w:p>
        </w:tc>
        <w:tc>
          <w:tcPr>
            <w:tcW w:w="4428" w:type="dxa"/>
          </w:tcPr>
          <w:p w14:paraId="05167E74" w14:textId="77777777" w:rsidR="00DE6094" w:rsidRPr="00DE6094" w:rsidRDefault="00DE6094" w:rsidP="00DE6094">
            <w:pPr>
              <w:tabs>
                <w:tab w:val="left" w:pos="930"/>
              </w:tabs>
            </w:pPr>
          </w:p>
        </w:tc>
      </w:tr>
    </w:tbl>
    <w:p w14:paraId="05EDC473" w14:textId="77777777" w:rsidR="00F71A23" w:rsidRDefault="00F71A23">
      <w:pPr>
        <w:pBdr>
          <w:bottom w:val="single" w:sz="6" w:space="1" w:color="auto"/>
        </w:pBdr>
        <w:rPr>
          <w:szCs w:val="24"/>
        </w:rPr>
      </w:pPr>
    </w:p>
    <w:p w14:paraId="0D9612D9" w14:textId="77777777" w:rsidR="001C6B78" w:rsidRDefault="001C6B78">
      <w:pPr>
        <w:rPr>
          <w:szCs w:val="24"/>
          <w:u w:val="single"/>
        </w:rPr>
      </w:pPr>
    </w:p>
    <w:p w14:paraId="515DC29B" w14:textId="77777777" w:rsidR="00E66CE5" w:rsidRDefault="00BA086D" w:rsidP="00BA086D">
      <w:pPr>
        <w:jc w:val="center"/>
        <w:rPr>
          <w:szCs w:val="24"/>
        </w:rPr>
      </w:pPr>
      <w:r>
        <w:rPr>
          <w:szCs w:val="24"/>
        </w:rPr>
        <w:t xml:space="preserve">MEMORANDUM IN OPPOSITION TO DEFENDANTS’ MOTION </w:t>
      </w:r>
      <w:r w:rsidR="000C50B0">
        <w:rPr>
          <w:szCs w:val="24"/>
        </w:rPr>
        <w:t>FOR JUDGMENT ON THE PLEADINGS</w:t>
      </w:r>
    </w:p>
    <w:p w14:paraId="14FFA1DB" w14:textId="77777777" w:rsidR="00BA086D" w:rsidRDefault="00BA086D" w:rsidP="00BA086D">
      <w:pPr>
        <w:pBdr>
          <w:bottom w:val="single" w:sz="6" w:space="1" w:color="auto"/>
        </w:pBdr>
        <w:jc w:val="center"/>
        <w:rPr>
          <w:szCs w:val="24"/>
        </w:rPr>
      </w:pPr>
    </w:p>
    <w:p w14:paraId="2DF11777" w14:textId="77777777" w:rsidR="00BA086D" w:rsidRPr="00BA086D" w:rsidRDefault="00BA086D" w:rsidP="00BA086D">
      <w:pPr>
        <w:jc w:val="center"/>
        <w:rPr>
          <w:szCs w:val="24"/>
        </w:rPr>
      </w:pPr>
    </w:p>
    <w:p w14:paraId="151DFFF5" w14:textId="77777777" w:rsidR="00956DD3" w:rsidRPr="00F76416" w:rsidRDefault="00956DD3" w:rsidP="00F76416">
      <w:pPr>
        <w:spacing w:line="480" w:lineRule="auto"/>
        <w:contextualSpacing/>
        <w:jc w:val="center"/>
        <w:rPr>
          <w:b/>
          <w:szCs w:val="24"/>
          <w:u w:val="single"/>
        </w:rPr>
      </w:pPr>
      <w:r w:rsidRPr="00F06C6F">
        <w:rPr>
          <w:b/>
          <w:szCs w:val="24"/>
          <w:u w:val="single"/>
        </w:rPr>
        <w:t>INTRODUCTION</w:t>
      </w:r>
    </w:p>
    <w:p w14:paraId="3AF117AC" w14:textId="77777777" w:rsidR="00C305D1" w:rsidRDefault="00C305D1" w:rsidP="00F0294C">
      <w:pPr>
        <w:spacing w:line="480" w:lineRule="auto"/>
        <w:contextualSpacing/>
        <w:jc w:val="both"/>
        <w:rPr>
          <w:szCs w:val="24"/>
        </w:rPr>
      </w:pPr>
      <w:r>
        <w:rPr>
          <w:szCs w:val="24"/>
        </w:rPr>
        <w:tab/>
      </w:r>
      <w:r w:rsidR="00FB0266">
        <w:rPr>
          <w:szCs w:val="24"/>
        </w:rPr>
        <w:t>This Memorandum</w:t>
      </w:r>
      <w:r w:rsidR="00F76416">
        <w:rPr>
          <w:szCs w:val="24"/>
        </w:rPr>
        <w:t xml:space="preserve"> is in opposition to Defendants Elizabeth Lime (“Lime”) and </w:t>
      </w:r>
      <w:proofErr w:type="spellStart"/>
      <w:r w:rsidR="00F76416">
        <w:rPr>
          <w:szCs w:val="24"/>
        </w:rPr>
        <w:t>TinyTV</w:t>
      </w:r>
      <w:proofErr w:type="spellEnd"/>
      <w:r w:rsidR="00F76416">
        <w:rPr>
          <w:szCs w:val="24"/>
        </w:rPr>
        <w:t>, Inc.’s (“</w:t>
      </w:r>
      <w:proofErr w:type="spellStart"/>
      <w:r w:rsidR="00F76416">
        <w:rPr>
          <w:szCs w:val="24"/>
        </w:rPr>
        <w:t>TinyTV</w:t>
      </w:r>
      <w:proofErr w:type="spellEnd"/>
      <w:r w:rsidR="00F76416">
        <w:rPr>
          <w:szCs w:val="24"/>
        </w:rPr>
        <w:t>”)</w:t>
      </w:r>
      <w:r w:rsidR="00FB0266">
        <w:rPr>
          <w:szCs w:val="24"/>
        </w:rPr>
        <w:t xml:space="preserve"> motion to dismiss for failure to state a claim. </w:t>
      </w:r>
      <w:r w:rsidR="000C50B0">
        <w:rPr>
          <w:szCs w:val="24"/>
        </w:rPr>
        <w:t xml:space="preserve">Plaintiff </w:t>
      </w:r>
      <w:r w:rsidR="00F76416">
        <w:rPr>
          <w:szCs w:val="24"/>
        </w:rPr>
        <w:t>OGS TV, Inc. (“OGS”)</w:t>
      </w:r>
      <w:r w:rsidR="0047357B">
        <w:rPr>
          <w:szCs w:val="24"/>
        </w:rPr>
        <w:t xml:space="preserve"> requests </w:t>
      </w:r>
      <w:r w:rsidR="00D67FAB">
        <w:rPr>
          <w:szCs w:val="24"/>
        </w:rPr>
        <w:t>the Court</w:t>
      </w:r>
      <w:r w:rsidR="00291AA8">
        <w:rPr>
          <w:szCs w:val="24"/>
        </w:rPr>
        <w:t xml:space="preserve"> deny the</w:t>
      </w:r>
      <w:r w:rsidR="00F76416">
        <w:rPr>
          <w:szCs w:val="24"/>
        </w:rPr>
        <w:t xml:space="preserve"> motion as the C</w:t>
      </w:r>
      <w:r w:rsidR="00291AA8">
        <w:rPr>
          <w:szCs w:val="24"/>
        </w:rPr>
        <w:t>omplaint state</w:t>
      </w:r>
      <w:r w:rsidR="00927755">
        <w:rPr>
          <w:szCs w:val="24"/>
        </w:rPr>
        <w:t>s a legally cognizable claim of</w:t>
      </w:r>
      <w:r w:rsidR="00291AA8">
        <w:rPr>
          <w:szCs w:val="24"/>
        </w:rPr>
        <w:t xml:space="preserve"> copyright infringement </w:t>
      </w:r>
      <w:r w:rsidR="00BC786D">
        <w:rPr>
          <w:szCs w:val="24"/>
        </w:rPr>
        <w:t xml:space="preserve">under </w:t>
      </w:r>
      <w:r w:rsidR="00D67FAB">
        <w:rPr>
          <w:szCs w:val="24"/>
        </w:rPr>
        <w:t xml:space="preserve">17 U.S.C. </w:t>
      </w:r>
      <w:r w:rsidR="004D1292">
        <w:rPr>
          <w:szCs w:val="24"/>
        </w:rPr>
        <w:t>§</w:t>
      </w:r>
      <w:r w:rsidR="00F41DDE">
        <w:rPr>
          <w:szCs w:val="24"/>
        </w:rPr>
        <w:t xml:space="preserve"> 501</w:t>
      </w:r>
      <w:r w:rsidR="004D1292">
        <w:rPr>
          <w:szCs w:val="24"/>
        </w:rPr>
        <w:t xml:space="preserve"> (2006)</w:t>
      </w:r>
      <w:r w:rsidR="009E762B">
        <w:rPr>
          <w:szCs w:val="24"/>
        </w:rPr>
        <w:t xml:space="preserve"> </w:t>
      </w:r>
      <w:r w:rsidR="00291AA8">
        <w:rPr>
          <w:szCs w:val="24"/>
        </w:rPr>
        <w:t>upon which relief can be granted.</w:t>
      </w:r>
      <w:r w:rsidR="000053DA">
        <w:rPr>
          <w:szCs w:val="24"/>
        </w:rPr>
        <w:t xml:space="preserve"> </w:t>
      </w:r>
      <w:r w:rsidR="00ED576D">
        <w:rPr>
          <w:szCs w:val="24"/>
        </w:rPr>
        <w:t>OGS owns the copyright to the screenplay Lime prepared for it through the work made for hire agreement. Defendants, by using this</w:t>
      </w:r>
      <w:r w:rsidR="000053DA">
        <w:rPr>
          <w:szCs w:val="24"/>
        </w:rPr>
        <w:t xml:space="preserve"> s</w:t>
      </w:r>
      <w:r w:rsidR="00ED576D">
        <w:rPr>
          <w:szCs w:val="24"/>
        </w:rPr>
        <w:t>creenplay</w:t>
      </w:r>
      <w:r w:rsidR="00320F0C">
        <w:rPr>
          <w:szCs w:val="24"/>
        </w:rPr>
        <w:t>, infringed OGS</w:t>
      </w:r>
      <w:r w:rsidR="00857895">
        <w:rPr>
          <w:szCs w:val="24"/>
        </w:rPr>
        <w:t>’s copyright i</w:t>
      </w:r>
      <w:r w:rsidR="00BC786D">
        <w:rPr>
          <w:szCs w:val="24"/>
        </w:rPr>
        <w:t>n violation of 17 U.S.C.</w:t>
      </w:r>
      <w:r w:rsidR="000E585C">
        <w:rPr>
          <w:szCs w:val="24"/>
        </w:rPr>
        <w:t xml:space="preserve"> § 106 (2006)</w:t>
      </w:r>
      <w:r w:rsidR="00ED576D">
        <w:rPr>
          <w:szCs w:val="24"/>
        </w:rPr>
        <w:t xml:space="preserve">. </w:t>
      </w:r>
      <w:r w:rsidR="00320F0C">
        <w:rPr>
          <w:szCs w:val="24"/>
        </w:rPr>
        <w:t>Because the C</w:t>
      </w:r>
      <w:r w:rsidR="00640489">
        <w:rPr>
          <w:szCs w:val="24"/>
        </w:rPr>
        <w:t>omplaint states a claim for relief and the ground</w:t>
      </w:r>
      <w:r w:rsidR="00D67FAB">
        <w:rPr>
          <w:szCs w:val="24"/>
        </w:rPr>
        <w:t>s upon which it rests pursuant to</w:t>
      </w:r>
      <w:r w:rsidR="00BC786D">
        <w:rPr>
          <w:szCs w:val="24"/>
        </w:rPr>
        <w:t xml:space="preserve"> Fed. R. Civ. P.</w:t>
      </w:r>
      <w:r w:rsidR="00640489">
        <w:rPr>
          <w:szCs w:val="24"/>
        </w:rPr>
        <w:t xml:space="preserve"> 8(a), </w:t>
      </w:r>
      <w:r w:rsidR="00D67FAB">
        <w:rPr>
          <w:szCs w:val="24"/>
        </w:rPr>
        <w:t xml:space="preserve">the Court must deny </w:t>
      </w:r>
      <w:r w:rsidR="00640489">
        <w:rPr>
          <w:szCs w:val="24"/>
        </w:rPr>
        <w:t>Defendants’ mo</w:t>
      </w:r>
      <w:r w:rsidR="00D67FAB">
        <w:rPr>
          <w:szCs w:val="24"/>
        </w:rPr>
        <w:t>tion to dismiss</w:t>
      </w:r>
      <w:r w:rsidR="00640489">
        <w:rPr>
          <w:szCs w:val="24"/>
        </w:rPr>
        <w:t>.</w:t>
      </w:r>
    </w:p>
    <w:p w14:paraId="4E25E7C4" w14:textId="77777777" w:rsidR="00640489" w:rsidRPr="00F06C6F" w:rsidRDefault="00640489" w:rsidP="00640489">
      <w:pPr>
        <w:spacing w:line="480" w:lineRule="auto"/>
        <w:contextualSpacing/>
        <w:jc w:val="center"/>
        <w:rPr>
          <w:b/>
          <w:szCs w:val="24"/>
          <w:u w:val="single"/>
        </w:rPr>
      </w:pPr>
      <w:r w:rsidRPr="00F06C6F">
        <w:rPr>
          <w:b/>
          <w:szCs w:val="24"/>
          <w:u w:val="single"/>
        </w:rPr>
        <w:t>FACTUAL BACKGROUND</w:t>
      </w:r>
    </w:p>
    <w:p w14:paraId="1F393295" w14:textId="77777777" w:rsidR="00640489" w:rsidRDefault="00640489" w:rsidP="00F0294C">
      <w:pPr>
        <w:spacing w:line="480" w:lineRule="auto"/>
        <w:contextualSpacing/>
        <w:jc w:val="both"/>
        <w:rPr>
          <w:szCs w:val="24"/>
        </w:rPr>
      </w:pPr>
      <w:r>
        <w:rPr>
          <w:szCs w:val="24"/>
        </w:rPr>
        <w:tab/>
      </w:r>
      <w:r w:rsidR="000F41BE">
        <w:rPr>
          <w:szCs w:val="24"/>
        </w:rPr>
        <w:t>As of April 2010, OGS</w:t>
      </w:r>
      <w:r w:rsidR="00BA1E26">
        <w:rPr>
          <w:szCs w:val="24"/>
        </w:rPr>
        <w:t>, the Plaintiff,</w:t>
      </w:r>
      <w:r w:rsidR="000F41BE">
        <w:rPr>
          <w:szCs w:val="24"/>
        </w:rPr>
        <w:t xml:space="preserve"> </w:t>
      </w:r>
      <w:r w:rsidR="00D90881">
        <w:rPr>
          <w:szCs w:val="24"/>
        </w:rPr>
        <w:t xml:space="preserve">was the producer </w:t>
      </w:r>
      <w:r w:rsidR="000F41BE">
        <w:rPr>
          <w:szCs w:val="24"/>
        </w:rPr>
        <w:t>of the</w:t>
      </w:r>
      <w:r w:rsidR="006F7ECD">
        <w:rPr>
          <w:szCs w:val="24"/>
        </w:rPr>
        <w:t xml:space="preserve"> television series </w:t>
      </w:r>
      <w:r w:rsidR="006F7ECD">
        <w:rPr>
          <w:i/>
          <w:szCs w:val="24"/>
        </w:rPr>
        <w:t>Lawless Love</w:t>
      </w:r>
      <w:r w:rsidR="00D90881">
        <w:rPr>
          <w:szCs w:val="24"/>
        </w:rPr>
        <w:t>.</w:t>
      </w:r>
      <w:r w:rsidR="001E49A2">
        <w:rPr>
          <w:szCs w:val="24"/>
        </w:rPr>
        <w:t xml:space="preserve"> (</w:t>
      </w:r>
      <w:proofErr w:type="spellStart"/>
      <w:r w:rsidR="001E49A2">
        <w:rPr>
          <w:szCs w:val="24"/>
        </w:rPr>
        <w:t>Compl</w:t>
      </w:r>
      <w:proofErr w:type="spellEnd"/>
      <w:r w:rsidR="001E49A2">
        <w:rPr>
          <w:szCs w:val="24"/>
        </w:rPr>
        <w:t>.</w:t>
      </w:r>
      <w:r w:rsidR="000F41BE">
        <w:rPr>
          <w:szCs w:val="24"/>
        </w:rPr>
        <w:t xml:space="preserve"> ¶ 5.) On March 27, 2010, OGS contacted Lime to commission from her a screenplay for one episode of the series</w:t>
      </w:r>
      <w:r w:rsidR="00481DA9">
        <w:rPr>
          <w:szCs w:val="24"/>
        </w:rPr>
        <w:t>. (</w:t>
      </w:r>
      <w:r w:rsidR="00481DA9" w:rsidRPr="004337DA">
        <w:rPr>
          <w:i/>
          <w:szCs w:val="24"/>
        </w:rPr>
        <w:t>Id</w:t>
      </w:r>
      <w:r w:rsidR="000F41BE" w:rsidRPr="004337DA">
        <w:rPr>
          <w:i/>
          <w:szCs w:val="24"/>
        </w:rPr>
        <w:t>.</w:t>
      </w:r>
      <w:r w:rsidR="000F41BE">
        <w:rPr>
          <w:szCs w:val="24"/>
        </w:rPr>
        <w:t xml:space="preserve"> </w:t>
      </w:r>
      <w:r w:rsidR="00481DA9">
        <w:rPr>
          <w:szCs w:val="24"/>
        </w:rPr>
        <w:t xml:space="preserve">at </w:t>
      </w:r>
      <w:r w:rsidR="000F41BE">
        <w:rPr>
          <w:szCs w:val="24"/>
        </w:rPr>
        <w:t xml:space="preserve">¶ 6.) Later that day, Lime met with </w:t>
      </w:r>
      <w:r w:rsidR="00CA68DA">
        <w:rPr>
          <w:szCs w:val="24"/>
        </w:rPr>
        <w:t xml:space="preserve">Dave </w:t>
      </w:r>
      <w:r w:rsidR="000F41BE">
        <w:rPr>
          <w:szCs w:val="24"/>
        </w:rPr>
        <w:t>Nelson</w:t>
      </w:r>
      <w:r w:rsidR="009E762B">
        <w:rPr>
          <w:szCs w:val="24"/>
        </w:rPr>
        <w:t xml:space="preserve"> </w:t>
      </w:r>
      <w:r w:rsidR="009E762B">
        <w:rPr>
          <w:szCs w:val="24"/>
        </w:rPr>
        <w:lastRenderedPageBreak/>
        <w:t>(“Nelson”)</w:t>
      </w:r>
      <w:r w:rsidR="00CA68DA">
        <w:rPr>
          <w:szCs w:val="24"/>
        </w:rPr>
        <w:t xml:space="preserve">, a producer </w:t>
      </w:r>
      <w:r w:rsidR="00481DA9">
        <w:rPr>
          <w:szCs w:val="24"/>
        </w:rPr>
        <w:t>of the series and an</w:t>
      </w:r>
      <w:r w:rsidR="00CA68DA">
        <w:rPr>
          <w:szCs w:val="24"/>
        </w:rPr>
        <w:t xml:space="preserve"> OGS</w:t>
      </w:r>
      <w:r w:rsidR="00481DA9">
        <w:rPr>
          <w:szCs w:val="24"/>
        </w:rPr>
        <w:t xml:space="preserve"> employee</w:t>
      </w:r>
      <w:r w:rsidR="00CA68DA">
        <w:rPr>
          <w:szCs w:val="24"/>
        </w:rPr>
        <w:t>,</w:t>
      </w:r>
      <w:r w:rsidR="000F41BE">
        <w:rPr>
          <w:szCs w:val="24"/>
        </w:rPr>
        <w:t xml:space="preserve"> where she agreed orally to prepare a screenplay for </w:t>
      </w:r>
      <w:r w:rsidR="000F41BE">
        <w:rPr>
          <w:i/>
          <w:szCs w:val="24"/>
        </w:rPr>
        <w:t xml:space="preserve">Lawless Love </w:t>
      </w:r>
      <w:r w:rsidR="00481DA9">
        <w:rPr>
          <w:szCs w:val="24"/>
        </w:rPr>
        <w:t>by April 1. (</w:t>
      </w:r>
      <w:r w:rsidR="00481DA9" w:rsidRPr="004337DA">
        <w:rPr>
          <w:i/>
          <w:szCs w:val="24"/>
        </w:rPr>
        <w:t>Id.</w:t>
      </w:r>
      <w:r w:rsidR="00481DA9">
        <w:rPr>
          <w:szCs w:val="24"/>
        </w:rPr>
        <w:t xml:space="preserve"> at</w:t>
      </w:r>
      <w:r w:rsidR="00D57EB9">
        <w:rPr>
          <w:szCs w:val="24"/>
        </w:rPr>
        <w:t xml:space="preserve"> ¶¶ 12–</w:t>
      </w:r>
      <w:r w:rsidR="000F41BE">
        <w:rPr>
          <w:szCs w:val="24"/>
        </w:rPr>
        <w:t xml:space="preserve">13.) </w:t>
      </w:r>
      <w:r w:rsidR="00A94848">
        <w:rPr>
          <w:szCs w:val="24"/>
        </w:rPr>
        <w:t>They</w:t>
      </w:r>
      <w:r w:rsidR="00921BBD">
        <w:rPr>
          <w:szCs w:val="24"/>
        </w:rPr>
        <w:t xml:space="preserve"> agreed that Lime would be </w:t>
      </w:r>
      <w:r w:rsidR="00A94848">
        <w:rPr>
          <w:szCs w:val="24"/>
        </w:rPr>
        <w:t>paid $6000 for her contribution</w:t>
      </w:r>
      <w:r w:rsidR="00481DA9">
        <w:rPr>
          <w:szCs w:val="24"/>
        </w:rPr>
        <w:t>. (</w:t>
      </w:r>
      <w:r w:rsidR="00481DA9" w:rsidRPr="004337DA">
        <w:rPr>
          <w:i/>
          <w:szCs w:val="24"/>
        </w:rPr>
        <w:t>Id</w:t>
      </w:r>
      <w:r w:rsidR="001133A5" w:rsidRPr="004337DA">
        <w:rPr>
          <w:i/>
          <w:szCs w:val="24"/>
        </w:rPr>
        <w:t>.</w:t>
      </w:r>
      <w:r w:rsidR="00481DA9">
        <w:rPr>
          <w:szCs w:val="24"/>
        </w:rPr>
        <w:t xml:space="preserve"> at</w:t>
      </w:r>
      <w:r w:rsidR="001133A5">
        <w:rPr>
          <w:szCs w:val="24"/>
        </w:rPr>
        <w:t xml:space="preserve"> ¶ 15.) </w:t>
      </w:r>
      <w:r w:rsidR="00592813">
        <w:rPr>
          <w:szCs w:val="24"/>
        </w:rPr>
        <w:t>Nelson informed Lime t</w:t>
      </w:r>
      <w:r w:rsidR="0032236D">
        <w:rPr>
          <w:szCs w:val="24"/>
        </w:rPr>
        <w:t>hat her screenplay</w:t>
      </w:r>
      <w:r w:rsidR="00A94848">
        <w:rPr>
          <w:szCs w:val="24"/>
        </w:rPr>
        <w:t xml:space="preserve"> would be </w:t>
      </w:r>
      <w:r w:rsidR="0032236D">
        <w:rPr>
          <w:szCs w:val="24"/>
        </w:rPr>
        <w:t xml:space="preserve">a work </w:t>
      </w:r>
      <w:r w:rsidR="002C3440">
        <w:rPr>
          <w:szCs w:val="24"/>
        </w:rPr>
        <w:t xml:space="preserve">made </w:t>
      </w:r>
      <w:r w:rsidR="00A94848">
        <w:rPr>
          <w:szCs w:val="24"/>
        </w:rPr>
        <w:t>for</w:t>
      </w:r>
      <w:r w:rsidR="0032236D">
        <w:rPr>
          <w:szCs w:val="24"/>
        </w:rPr>
        <w:t xml:space="preserve"> hire and what this would mean that OGS would be the legal author of the work.</w:t>
      </w:r>
      <w:r w:rsidR="00481DA9">
        <w:rPr>
          <w:szCs w:val="24"/>
        </w:rPr>
        <w:t xml:space="preserve"> (</w:t>
      </w:r>
      <w:r w:rsidR="00481DA9" w:rsidRPr="004337DA">
        <w:rPr>
          <w:i/>
          <w:szCs w:val="24"/>
        </w:rPr>
        <w:t>Id</w:t>
      </w:r>
      <w:r w:rsidR="00592813" w:rsidRPr="004337DA">
        <w:rPr>
          <w:i/>
          <w:szCs w:val="24"/>
        </w:rPr>
        <w:t>.</w:t>
      </w:r>
      <w:r w:rsidR="00481DA9">
        <w:rPr>
          <w:szCs w:val="24"/>
        </w:rPr>
        <w:t xml:space="preserve"> at</w:t>
      </w:r>
      <w:r w:rsidR="00592813">
        <w:rPr>
          <w:szCs w:val="24"/>
        </w:rPr>
        <w:t xml:space="preserve"> ¶¶ </w:t>
      </w:r>
      <w:r w:rsidR="00D57EB9">
        <w:rPr>
          <w:szCs w:val="24"/>
        </w:rPr>
        <w:t>16</w:t>
      </w:r>
      <w:r w:rsidR="00592813">
        <w:rPr>
          <w:szCs w:val="24"/>
        </w:rPr>
        <w:t xml:space="preserve">) </w:t>
      </w:r>
      <w:r w:rsidR="00517A1B">
        <w:rPr>
          <w:szCs w:val="24"/>
        </w:rPr>
        <w:t>N</w:t>
      </w:r>
      <w:r w:rsidR="002D2124">
        <w:rPr>
          <w:szCs w:val="24"/>
        </w:rPr>
        <w:t>elson then asked if Lime would be okay with this arrangement, and she said yes.</w:t>
      </w:r>
      <w:r w:rsidR="00517A1B">
        <w:rPr>
          <w:szCs w:val="24"/>
        </w:rPr>
        <w:t xml:space="preserve"> </w:t>
      </w:r>
      <w:r w:rsidR="00481DA9">
        <w:rPr>
          <w:szCs w:val="24"/>
        </w:rPr>
        <w:t>(</w:t>
      </w:r>
      <w:r w:rsidR="00481DA9" w:rsidRPr="004337DA">
        <w:rPr>
          <w:i/>
          <w:szCs w:val="24"/>
        </w:rPr>
        <w:t>Id.</w:t>
      </w:r>
      <w:r w:rsidR="00481DA9">
        <w:rPr>
          <w:szCs w:val="24"/>
        </w:rPr>
        <w:t xml:space="preserve"> at</w:t>
      </w:r>
      <w:r w:rsidR="00D57EB9">
        <w:rPr>
          <w:szCs w:val="24"/>
        </w:rPr>
        <w:t xml:space="preserve"> ¶¶ 16–</w:t>
      </w:r>
      <w:r w:rsidR="00323364">
        <w:rPr>
          <w:szCs w:val="24"/>
        </w:rPr>
        <w:t xml:space="preserve">17.) Nelson also informed Lime that there would be some paperwork involved in the agreement, but that she could </w:t>
      </w:r>
      <w:r w:rsidR="00481DA9">
        <w:rPr>
          <w:szCs w:val="24"/>
        </w:rPr>
        <w:t>return to sign it later. (</w:t>
      </w:r>
      <w:r w:rsidR="00481DA9" w:rsidRPr="004337DA">
        <w:rPr>
          <w:i/>
          <w:szCs w:val="24"/>
        </w:rPr>
        <w:t>Id.</w:t>
      </w:r>
      <w:r w:rsidR="00481DA9">
        <w:rPr>
          <w:szCs w:val="24"/>
        </w:rPr>
        <w:t xml:space="preserve"> at</w:t>
      </w:r>
      <w:r w:rsidR="00323364">
        <w:rPr>
          <w:szCs w:val="24"/>
        </w:rPr>
        <w:t xml:space="preserve"> ¶ </w:t>
      </w:r>
      <w:r w:rsidR="008052ED">
        <w:rPr>
          <w:szCs w:val="24"/>
        </w:rPr>
        <w:t>20.)</w:t>
      </w:r>
    </w:p>
    <w:p w14:paraId="70563293" w14:textId="77777777" w:rsidR="007E379D" w:rsidRDefault="008052ED" w:rsidP="00F0294C">
      <w:pPr>
        <w:spacing w:line="480" w:lineRule="auto"/>
        <w:contextualSpacing/>
        <w:jc w:val="both"/>
        <w:rPr>
          <w:szCs w:val="24"/>
        </w:rPr>
      </w:pPr>
      <w:r>
        <w:rPr>
          <w:szCs w:val="24"/>
        </w:rPr>
        <w:tab/>
      </w:r>
      <w:r w:rsidR="00DE12C2">
        <w:rPr>
          <w:szCs w:val="24"/>
        </w:rPr>
        <w:t>On April 1,</w:t>
      </w:r>
      <w:r w:rsidR="00517A1B">
        <w:rPr>
          <w:szCs w:val="24"/>
        </w:rPr>
        <w:t xml:space="preserve"> 2010,</w:t>
      </w:r>
      <w:r w:rsidR="00DE12C2">
        <w:rPr>
          <w:szCs w:val="24"/>
        </w:rPr>
        <w:t xml:space="preserve"> Lime submitted a screenplay ent</w:t>
      </w:r>
      <w:r w:rsidR="00517A1B">
        <w:rPr>
          <w:szCs w:val="24"/>
        </w:rPr>
        <w:t>itled “Anticipatory Repudiation</w:t>
      </w:r>
      <w:r w:rsidR="00DE12C2">
        <w:rPr>
          <w:szCs w:val="24"/>
        </w:rPr>
        <w:t>”</w:t>
      </w:r>
      <w:r w:rsidR="00517A1B">
        <w:rPr>
          <w:szCs w:val="24"/>
        </w:rPr>
        <w:t xml:space="preserve"> to OGS.</w:t>
      </w:r>
      <w:r w:rsidR="00481DA9">
        <w:rPr>
          <w:szCs w:val="24"/>
        </w:rPr>
        <w:t xml:space="preserve"> (</w:t>
      </w:r>
      <w:r w:rsidR="00481DA9" w:rsidRPr="004337DA">
        <w:rPr>
          <w:i/>
          <w:szCs w:val="24"/>
        </w:rPr>
        <w:t>Id</w:t>
      </w:r>
      <w:r w:rsidR="00DE12C2" w:rsidRPr="004337DA">
        <w:rPr>
          <w:i/>
          <w:szCs w:val="24"/>
        </w:rPr>
        <w:t>.</w:t>
      </w:r>
      <w:r w:rsidR="00481DA9">
        <w:rPr>
          <w:szCs w:val="24"/>
        </w:rPr>
        <w:t xml:space="preserve"> at</w:t>
      </w:r>
      <w:r w:rsidR="00DE12C2">
        <w:rPr>
          <w:szCs w:val="24"/>
        </w:rPr>
        <w:t xml:space="preserve"> ¶ 21.) </w:t>
      </w:r>
      <w:r w:rsidR="00517A1B">
        <w:rPr>
          <w:szCs w:val="24"/>
        </w:rPr>
        <w:t>The next day</w:t>
      </w:r>
      <w:r w:rsidR="00EE51A1">
        <w:rPr>
          <w:szCs w:val="24"/>
        </w:rPr>
        <w:t>, OGS received a certificate of registration from the Register of Copyrights</w:t>
      </w:r>
      <w:r w:rsidR="00950DD6">
        <w:rPr>
          <w:szCs w:val="24"/>
        </w:rPr>
        <w:t>.</w:t>
      </w:r>
      <w:r w:rsidR="00481DA9">
        <w:rPr>
          <w:szCs w:val="24"/>
        </w:rPr>
        <w:t xml:space="preserve"> (</w:t>
      </w:r>
      <w:r w:rsidR="00481DA9" w:rsidRPr="004337DA">
        <w:rPr>
          <w:i/>
          <w:szCs w:val="24"/>
        </w:rPr>
        <w:t>Id.</w:t>
      </w:r>
      <w:r w:rsidR="00481DA9">
        <w:rPr>
          <w:szCs w:val="24"/>
        </w:rPr>
        <w:t xml:space="preserve"> at</w:t>
      </w:r>
      <w:r w:rsidR="00EE51A1">
        <w:rPr>
          <w:szCs w:val="24"/>
        </w:rPr>
        <w:t xml:space="preserve"> ¶ 22.) </w:t>
      </w:r>
      <w:r w:rsidR="00DE051D">
        <w:rPr>
          <w:szCs w:val="24"/>
        </w:rPr>
        <w:t xml:space="preserve">On April 6, </w:t>
      </w:r>
      <w:r w:rsidR="00517A1B">
        <w:rPr>
          <w:szCs w:val="24"/>
        </w:rPr>
        <w:t xml:space="preserve">2010, </w:t>
      </w:r>
      <w:r w:rsidR="00DE051D">
        <w:rPr>
          <w:szCs w:val="24"/>
        </w:rPr>
        <w:t xml:space="preserve">Lime </w:t>
      </w:r>
      <w:r w:rsidR="00864599">
        <w:rPr>
          <w:szCs w:val="24"/>
        </w:rPr>
        <w:t xml:space="preserve">and Nelson </w:t>
      </w:r>
      <w:r w:rsidR="00DE051D">
        <w:rPr>
          <w:szCs w:val="24"/>
        </w:rPr>
        <w:t>signed the work made for hire agreement, which stated</w:t>
      </w:r>
      <w:r w:rsidR="002D2124">
        <w:rPr>
          <w:szCs w:val="24"/>
        </w:rPr>
        <w:t xml:space="preserve"> with respect to Lime</w:t>
      </w:r>
      <w:r w:rsidR="00DE051D">
        <w:rPr>
          <w:szCs w:val="24"/>
        </w:rPr>
        <w:t>: “I understand and agree that I have prepared this screenplay, ‘Anticipatory Repudiation,’ as a work made for hire under the Federal Copyright Act of 1976. Pursuant to this law, OGS TV is the author of</w:t>
      </w:r>
      <w:r w:rsidR="00481DA9">
        <w:rPr>
          <w:szCs w:val="24"/>
        </w:rPr>
        <w:t xml:space="preserve"> this screenplay.” (</w:t>
      </w:r>
      <w:r w:rsidR="00481DA9" w:rsidRPr="004337DA">
        <w:rPr>
          <w:i/>
          <w:szCs w:val="24"/>
        </w:rPr>
        <w:t>Id</w:t>
      </w:r>
      <w:r w:rsidR="00864599" w:rsidRPr="004337DA">
        <w:rPr>
          <w:i/>
          <w:szCs w:val="24"/>
        </w:rPr>
        <w:t>.</w:t>
      </w:r>
      <w:r w:rsidR="00481DA9">
        <w:rPr>
          <w:szCs w:val="24"/>
        </w:rPr>
        <w:t xml:space="preserve"> at</w:t>
      </w:r>
      <w:r w:rsidR="00864599">
        <w:rPr>
          <w:szCs w:val="24"/>
        </w:rPr>
        <w:t xml:space="preserve"> ¶ 24–25.</w:t>
      </w:r>
      <w:r w:rsidR="00DE051D">
        <w:rPr>
          <w:szCs w:val="24"/>
        </w:rPr>
        <w:t>)</w:t>
      </w:r>
      <w:r w:rsidR="006E2727">
        <w:rPr>
          <w:szCs w:val="24"/>
        </w:rPr>
        <w:t xml:space="preserve"> </w:t>
      </w:r>
      <w:r w:rsidR="00864599">
        <w:rPr>
          <w:szCs w:val="24"/>
        </w:rPr>
        <w:t>After review of the screenplay, OGS determined that it did not fit the th</w:t>
      </w:r>
      <w:r w:rsidR="00463B41">
        <w:rPr>
          <w:szCs w:val="24"/>
        </w:rPr>
        <w:t>eme of the show and declined to use it.</w:t>
      </w:r>
      <w:r w:rsidR="00481DA9">
        <w:rPr>
          <w:szCs w:val="24"/>
        </w:rPr>
        <w:t xml:space="preserve"> (</w:t>
      </w:r>
      <w:r w:rsidR="00481DA9" w:rsidRPr="004337DA">
        <w:rPr>
          <w:i/>
          <w:szCs w:val="24"/>
        </w:rPr>
        <w:t>Id.</w:t>
      </w:r>
      <w:r w:rsidR="00481DA9">
        <w:rPr>
          <w:szCs w:val="24"/>
        </w:rPr>
        <w:t xml:space="preserve"> at</w:t>
      </w:r>
      <w:r w:rsidR="006E2727">
        <w:rPr>
          <w:szCs w:val="24"/>
        </w:rPr>
        <w:t xml:space="preserve"> ¶ 26.)</w:t>
      </w:r>
      <w:r w:rsidR="007E379D">
        <w:rPr>
          <w:szCs w:val="24"/>
        </w:rPr>
        <w:t xml:space="preserve"> </w:t>
      </w:r>
    </w:p>
    <w:p w14:paraId="35DF374D" w14:textId="77777777" w:rsidR="008052ED" w:rsidRDefault="009E762B" w:rsidP="00F0294C">
      <w:pPr>
        <w:spacing w:line="480" w:lineRule="auto"/>
        <w:ind w:firstLine="720"/>
        <w:contextualSpacing/>
        <w:jc w:val="both"/>
        <w:rPr>
          <w:szCs w:val="24"/>
        </w:rPr>
      </w:pPr>
      <w:r>
        <w:rPr>
          <w:szCs w:val="24"/>
        </w:rPr>
        <w:t>Shortly after the submission of “An</w:t>
      </w:r>
      <w:r w:rsidR="00506771">
        <w:rPr>
          <w:szCs w:val="24"/>
        </w:rPr>
        <w:t>ticipatory Repudiation” to OGS,</w:t>
      </w:r>
      <w:r w:rsidR="007E379D">
        <w:rPr>
          <w:szCs w:val="24"/>
        </w:rPr>
        <w:t xml:space="preserve"> </w:t>
      </w:r>
      <w:r w:rsidR="00506771">
        <w:rPr>
          <w:szCs w:val="24"/>
        </w:rPr>
        <w:t xml:space="preserve">Lime and </w:t>
      </w:r>
      <w:proofErr w:type="spellStart"/>
      <w:r w:rsidR="00506771">
        <w:rPr>
          <w:szCs w:val="24"/>
        </w:rPr>
        <w:t>TinyTV</w:t>
      </w:r>
      <w:proofErr w:type="spellEnd"/>
      <w:r w:rsidR="00506771">
        <w:rPr>
          <w:szCs w:val="24"/>
        </w:rPr>
        <w:t>,</w:t>
      </w:r>
      <w:r w:rsidR="007E379D">
        <w:rPr>
          <w:szCs w:val="24"/>
        </w:rPr>
        <w:t xml:space="preserve"> created a new series entitled </w:t>
      </w:r>
      <w:r w:rsidR="007E379D">
        <w:rPr>
          <w:i/>
          <w:szCs w:val="24"/>
        </w:rPr>
        <w:t>The Tin Can</w:t>
      </w:r>
      <w:r w:rsidR="00481DA9">
        <w:rPr>
          <w:szCs w:val="24"/>
        </w:rPr>
        <w:t>. (</w:t>
      </w:r>
      <w:r w:rsidR="00481DA9" w:rsidRPr="004337DA">
        <w:rPr>
          <w:i/>
          <w:szCs w:val="24"/>
        </w:rPr>
        <w:t>Id</w:t>
      </w:r>
      <w:r w:rsidR="00BD3D2A" w:rsidRPr="004337DA">
        <w:rPr>
          <w:i/>
          <w:szCs w:val="24"/>
        </w:rPr>
        <w:t>.</w:t>
      </w:r>
      <w:r w:rsidR="00481DA9">
        <w:rPr>
          <w:szCs w:val="24"/>
        </w:rPr>
        <w:t xml:space="preserve"> at</w:t>
      </w:r>
      <w:r w:rsidR="00BD3D2A">
        <w:rPr>
          <w:szCs w:val="24"/>
        </w:rPr>
        <w:t xml:space="preserve"> ¶¶ 26</w:t>
      </w:r>
      <w:r w:rsidR="003368CF">
        <w:rPr>
          <w:szCs w:val="24"/>
        </w:rPr>
        <w:t>–</w:t>
      </w:r>
      <w:r w:rsidR="00BD3D2A">
        <w:rPr>
          <w:szCs w:val="24"/>
        </w:rPr>
        <w:t xml:space="preserve">27.) </w:t>
      </w:r>
      <w:r w:rsidR="00253D46">
        <w:rPr>
          <w:szCs w:val="24"/>
        </w:rPr>
        <w:t xml:space="preserve">In August 2010, </w:t>
      </w:r>
      <w:r w:rsidR="00BB1E14">
        <w:rPr>
          <w:szCs w:val="24"/>
        </w:rPr>
        <w:t xml:space="preserve">Lime and </w:t>
      </w:r>
      <w:proofErr w:type="spellStart"/>
      <w:r w:rsidR="00BB1E14">
        <w:rPr>
          <w:szCs w:val="24"/>
        </w:rPr>
        <w:t>TinyTV</w:t>
      </w:r>
      <w:proofErr w:type="spellEnd"/>
      <w:r w:rsidR="00BB1E14">
        <w:rPr>
          <w:szCs w:val="24"/>
        </w:rPr>
        <w:t>, working together, produced a screenplay for the pilot episode of this series, “The Love Below,” wh</w:t>
      </w:r>
      <w:r w:rsidR="001376D1">
        <w:rPr>
          <w:szCs w:val="24"/>
        </w:rPr>
        <w:t>ich borrowed heavily from the</w:t>
      </w:r>
      <w:r w:rsidR="00BB1E14">
        <w:rPr>
          <w:szCs w:val="24"/>
        </w:rPr>
        <w:t xml:space="preserve"> screenplay Lime prepared for OGS without OG</w:t>
      </w:r>
      <w:r w:rsidR="00481DA9">
        <w:rPr>
          <w:szCs w:val="24"/>
        </w:rPr>
        <w:t>S’s knowledge or consent. (</w:t>
      </w:r>
      <w:r w:rsidR="00481DA9" w:rsidRPr="004337DA">
        <w:rPr>
          <w:i/>
          <w:szCs w:val="24"/>
        </w:rPr>
        <w:t>Id</w:t>
      </w:r>
      <w:r w:rsidR="00BB1E14" w:rsidRPr="004337DA">
        <w:rPr>
          <w:i/>
          <w:szCs w:val="24"/>
        </w:rPr>
        <w:t>.</w:t>
      </w:r>
      <w:r w:rsidR="00481DA9">
        <w:rPr>
          <w:szCs w:val="24"/>
        </w:rPr>
        <w:t xml:space="preserve"> at</w:t>
      </w:r>
      <w:r w:rsidR="00BB1E14">
        <w:rPr>
          <w:szCs w:val="24"/>
        </w:rPr>
        <w:t xml:space="preserve"> ¶ 28.) </w:t>
      </w:r>
      <w:r w:rsidR="0000367B">
        <w:rPr>
          <w:szCs w:val="24"/>
        </w:rPr>
        <w:t>The two screenplays contain identical dial</w:t>
      </w:r>
      <w:r w:rsidR="00CE351D">
        <w:rPr>
          <w:szCs w:val="24"/>
        </w:rPr>
        <w:t>o</w:t>
      </w:r>
      <w:r w:rsidR="00D46CF8">
        <w:rPr>
          <w:szCs w:val="24"/>
        </w:rPr>
        <w:t xml:space="preserve">gue, characters and storylines. </w:t>
      </w:r>
      <w:r w:rsidR="00481DA9">
        <w:rPr>
          <w:szCs w:val="24"/>
        </w:rPr>
        <w:t>(</w:t>
      </w:r>
      <w:r w:rsidR="00481DA9" w:rsidRPr="004337DA">
        <w:rPr>
          <w:i/>
          <w:szCs w:val="24"/>
        </w:rPr>
        <w:t>Id.</w:t>
      </w:r>
      <w:r w:rsidR="00481DA9">
        <w:rPr>
          <w:szCs w:val="24"/>
        </w:rPr>
        <w:t xml:space="preserve"> at</w:t>
      </w:r>
      <w:r w:rsidR="0000367B">
        <w:rPr>
          <w:szCs w:val="24"/>
        </w:rPr>
        <w:t xml:space="preserve"> ¶ 31.) </w:t>
      </w:r>
      <w:r w:rsidR="00253D46">
        <w:rPr>
          <w:szCs w:val="24"/>
        </w:rPr>
        <w:t xml:space="preserve">On September 7, 2010, Defendants broadcasted “The Love Below” to the public on </w:t>
      </w:r>
      <w:proofErr w:type="spellStart"/>
      <w:r w:rsidR="00253D46">
        <w:rPr>
          <w:szCs w:val="24"/>
        </w:rPr>
        <w:t>TinyTV’s</w:t>
      </w:r>
      <w:proofErr w:type="spellEnd"/>
      <w:r w:rsidR="00253D46">
        <w:rPr>
          <w:szCs w:val="24"/>
        </w:rPr>
        <w:t xml:space="preserve"> cable tel</w:t>
      </w:r>
      <w:r w:rsidR="00CE351D">
        <w:rPr>
          <w:szCs w:val="24"/>
        </w:rPr>
        <w:t>evision channel</w:t>
      </w:r>
      <w:r w:rsidR="00D46CF8">
        <w:rPr>
          <w:szCs w:val="24"/>
        </w:rPr>
        <w:t>.</w:t>
      </w:r>
      <w:r w:rsidR="00253D46">
        <w:rPr>
          <w:szCs w:val="24"/>
        </w:rPr>
        <w:t xml:space="preserve"> </w:t>
      </w:r>
      <w:r w:rsidR="00481DA9">
        <w:rPr>
          <w:szCs w:val="24"/>
        </w:rPr>
        <w:t>(</w:t>
      </w:r>
      <w:r w:rsidR="00481DA9" w:rsidRPr="004337DA">
        <w:rPr>
          <w:i/>
          <w:szCs w:val="24"/>
        </w:rPr>
        <w:t>Id.</w:t>
      </w:r>
      <w:r w:rsidR="00481DA9">
        <w:rPr>
          <w:szCs w:val="24"/>
        </w:rPr>
        <w:t xml:space="preserve"> at</w:t>
      </w:r>
      <w:r w:rsidR="0000367B">
        <w:rPr>
          <w:szCs w:val="24"/>
        </w:rPr>
        <w:t xml:space="preserve"> ¶</w:t>
      </w:r>
      <w:r w:rsidR="00CE351D">
        <w:rPr>
          <w:szCs w:val="24"/>
        </w:rPr>
        <w:t>¶</w:t>
      </w:r>
      <w:r w:rsidR="0000367B">
        <w:rPr>
          <w:szCs w:val="24"/>
        </w:rPr>
        <w:t xml:space="preserve"> 29</w:t>
      </w:r>
      <w:r w:rsidR="00CE351D">
        <w:rPr>
          <w:szCs w:val="24"/>
        </w:rPr>
        <w:t>, 32</w:t>
      </w:r>
      <w:r w:rsidR="0000367B">
        <w:rPr>
          <w:szCs w:val="24"/>
        </w:rPr>
        <w:t>.)</w:t>
      </w:r>
      <w:r w:rsidR="001763E5">
        <w:rPr>
          <w:szCs w:val="24"/>
        </w:rPr>
        <w:t xml:space="preserve"> The broadcast has caused OGS to suffer losses amounting to $80,000 in lost advertising revenue plus t</w:t>
      </w:r>
      <w:r w:rsidR="00481DA9">
        <w:rPr>
          <w:szCs w:val="24"/>
        </w:rPr>
        <w:t>he $6</w:t>
      </w:r>
      <w:r w:rsidR="00FA48DB">
        <w:rPr>
          <w:szCs w:val="24"/>
        </w:rPr>
        <w:t>,</w:t>
      </w:r>
      <w:r w:rsidR="00481DA9">
        <w:rPr>
          <w:szCs w:val="24"/>
        </w:rPr>
        <w:t xml:space="preserve">000 fee paid to Lime. </w:t>
      </w:r>
      <w:r w:rsidR="00481DA9">
        <w:rPr>
          <w:szCs w:val="24"/>
        </w:rPr>
        <w:lastRenderedPageBreak/>
        <w:t>(</w:t>
      </w:r>
      <w:r w:rsidR="00481DA9" w:rsidRPr="004337DA">
        <w:rPr>
          <w:i/>
          <w:szCs w:val="24"/>
        </w:rPr>
        <w:t>Id.</w:t>
      </w:r>
      <w:r w:rsidR="00481DA9">
        <w:rPr>
          <w:szCs w:val="24"/>
        </w:rPr>
        <w:t xml:space="preserve"> at</w:t>
      </w:r>
      <w:r w:rsidR="001763E5">
        <w:rPr>
          <w:szCs w:val="24"/>
        </w:rPr>
        <w:t xml:space="preserve"> ¶ 30.) On September 15, 2010, OGS notified Defenda</w:t>
      </w:r>
      <w:r w:rsidR="00481DA9">
        <w:rPr>
          <w:szCs w:val="24"/>
        </w:rPr>
        <w:t>nts of the</w:t>
      </w:r>
      <w:r w:rsidR="00D46CF8">
        <w:rPr>
          <w:szCs w:val="24"/>
        </w:rPr>
        <w:t>ir copyright</w:t>
      </w:r>
      <w:r w:rsidR="00481DA9">
        <w:rPr>
          <w:szCs w:val="24"/>
        </w:rPr>
        <w:t xml:space="preserve"> infringement. (</w:t>
      </w:r>
      <w:r w:rsidR="00481DA9" w:rsidRPr="004337DA">
        <w:rPr>
          <w:i/>
          <w:szCs w:val="24"/>
        </w:rPr>
        <w:t>Id.</w:t>
      </w:r>
      <w:r w:rsidR="00481DA9">
        <w:rPr>
          <w:szCs w:val="24"/>
        </w:rPr>
        <w:t xml:space="preserve"> at</w:t>
      </w:r>
      <w:r w:rsidR="001763E5">
        <w:rPr>
          <w:szCs w:val="24"/>
        </w:rPr>
        <w:t xml:space="preserve"> ¶ 33.)</w:t>
      </w:r>
      <w:r w:rsidR="00AD299A">
        <w:rPr>
          <w:szCs w:val="24"/>
        </w:rPr>
        <w:t xml:space="preserve"> On Janua</w:t>
      </w:r>
      <w:r w:rsidR="00FA48DB">
        <w:rPr>
          <w:szCs w:val="24"/>
        </w:rPr>
        <w:t>ry 17, 2012, OGS submitted its</w:t>
      </w:r>
      <w:r w:rsidR="00AD299A">
        <w:rPr>
          <w:szCs w:val="24"/>
        </w:rPr>
        <w:t xml:space="preserve"> complaint, alleging copyright infringement, and requesting an injunction preventing the </w:t>
      </w:r>
      <w:r>
        <w:rPr>
          <w:szCs w:val="24"/>
        </w:rPr>
        <w:t>production copied from OGS</w:t>
      </w:r>
      <w:r w:rsidR="00AD299A">
        <w:rPr>
          <w:szCs w:val="24"/>
        </w:rPr>
        <w:t>’s screenplay from being broadcasted, as well as damages sufficien</w:t>
      </w:r>
      <w:r w:rsidR="00481DA9">
        <w:rPr>
          <w:szCs w:val="24"/>
        </w:rPr>
        <w:t>t to cover OGS’s losses. (</w:t>
      </w:r>
      <w:r w:rsidR="00481DA9" w:rsidRPr="004337DA">
        <w:rPr>
          <w:i/>
          <w:szCs w:val="24"/>
        </w:rPr>
        <w:t>Id.</w:t>
      </w:r>
      <w:r w:rsidR="00481DA9">
        <w:rPr>
          <w:szCs w:val="24"/>
        </w:rPr>
        <w:t xml:space="preserve"> at</w:t>
      </w:r>
      <w:r w:rsidR="00AD299A">
        <w:rPr>
          <w:szCs w:val="24"/>
        </w:rPr>
        <w:t xml:space="preserve"> ¶¶ 34–35</w:t>
      </w:r>
      <w:r w:rsidR="00AD299A" w:rsidRPr="00AD299A">
        <w:rPr>
          <w:szCs w:val="24"/>
        </w:rPr>
        <w:t>.)</w:t>
      </w:r>
      <w:r>
        <w:rPr>
          <w:szCs w:val="24"/>
        </w:rPr>
        <w:t xml:space="preserve"> OGS</w:t>
      </w:r>
      <w:r w:rsidR="00AD299A">
        <w:rPr>
          <w:szCs w:val="24"/>
        </w:rPr>
        <w:t xml:space="preserve"> and Defendants have submit</w:t>
      </w:r>
      <w:r w:rsidR="002036F1">
        <w:rPr>
          <w:szCs w:val="24"/>
        </w:rPr>
        <w:t>ted</w:t>
      </w:r>
      <w:r w:rsidR="00AD299A">
        <w:rPr>
          <w:szCs w:val="24"/>
        </w:rPr>
        <w:t xml:space="preserve"> Memoranda opposing and supporting, respectively, Defendants’ Motion to Dismiss in a judgment on the pleadings.</w:t>
      </w:r>
    </w:p>
    <w:p w14:paraId="4F594F3A" w14:textId="77777777" w:rsidR="009D4D9B" w:rsidRDefault="0060711C" w:rsidP="00B61DB4">
      <w:pPr>
        <w:spacing w:line="480" w:lineRule="auto"/>
        <w:contextualSpacing/>
        <w:jc w:val="center"/>
        <w:rPr>
          <w:b/>
          <w:szCs w:val="24"/>
          <w:u w:val="single"/>
        </w:rPr>
      </w:pPr>
      <w:r w:rsidRPr="00F06C6F">
        <w:rPr>
          <w:b/>
          <w:szCs w:val="24"/>
          <w:u w:val="single"/>
        </w:rPr>
        <w:t>ARGUMENT</w:t>
      </w:r>
    </w:p>
    <w:p w14:paraId="30413E23" w14:textId="77777777" w:rsidR="008107A8" w:rsidRDefault="00E11446" w:rsidP="00F0294C">
      <w:pPr>
        <w:spacing w:line="480" w:lineRule="auto"/>
        <w:ind w:firstLine="720"/>
        <w:contextualSpacing/>
        <w:jc w:val="both"/>
        <w:rPr>
          <w:szCs w:val="24"/>
        </w:rPr>
      </w:pPr>
      <w:r>
        <w:rPr>
          <w:szCs w:val="24"/>
        </w:rPr>
        <w:t>OGS</w:t>
      </w:r>
      <w:r w:rsidR="00F90FA9">
        <w:rPr>
          <w:szCs w:val="24"/>
        </w:rPr>
        <w:t xml:space="preserve"> is, for legal purposes, the author and also the copyright owner of the screenplay “Anticipatory Repudiation.”</w:t>
      </w:r>
      <w:r>
        <w:rPr>
          <w:szCs w:val="24"/>
        </w:rPr>
        <w:t xml:space="preserve"> </w:t>
      </w:r>
      <w:r w:rsidR="00DC17CB">
        <w:rPr>
          <w:szCs w:val="24"/>
        </w:rPr>
        <w:t>According to the Copyright Act of 1976, a</w:t>
      </w:r>
      <w:r>
        <w:rPr>
          <w:szCs w:val="24"/>
        </w:rPr>
        <w:t xml:space="preserve"> work made for hire is one that is either</w:t>
      </w:r>
      <w:r w:rsidRPr="00E11446">
        <w:rPr>
          <w:szCs w:val="24"/>
        </w:rPr>
        <w:t> </w:t>
      </w:r>
      <w:r>
        <w:rPr>
          <w:szCs w:val="24"/>
        </w:rPr>
        <w:t>“</w:t>
      </w:r>
      <w:r w:rsidRPr="00E11446">
        <w:rPr>
          <w:szCs w:val="24"/>
        </w:rPr>
        <w:t>a work prepared by an employee within the scope of his or her employment</w:t>
      </w:r>
      <w:r>
        <w:rPr>
          <w:szCs w:val="24"/>
        </w:rPr>
        <w:t>,” or “</w:t>
      </w:r>
      <w:r w:rsidRPr="00E11446">
        <w:rPr>
          <w:szCs w:val="24"/>
        </w:rPr>
        <w:t>a work specially ordered or commissioned for use as a contribution to a collective work</w:t>
      </w:r>
      <w:r>
        <w:rPr>
          <w:szCs w:val="24"/>
        </w:rPr>
        <w:t xml:space="preserve"> . . . if the parties expressly agree in a written instrument signed by them that the work shall be considered a work made for hire.” </w:t>
      </w:r>
      <w:proofErr w:type="gramStart"/>
      <w:r>
        <w:rPr>
          <w:szCs w:val="24"/>
        </w:rPr>
        <w:t>17 U.</w:t>
      </w:r>
      <w:r w:rsidR="007D090F">
        <w:rPr>
          <w:szCs w:val="24"/>
        </w:rPr>
        <w:t>S.C.A. § 101 (</w:t>
      </w:r>
      <w:r w:rsidR="00F90FA9">
        <w:rPr>
          <w:szCs w:val="24"/>
        </w:rPr>
        <w:t>2010).</w:t>
      </w:r>
      <w:proofErr w:type="gramEnd"/>
      <w:r w:rsidR="00F90FA9">
        <w:rPr>
          <w:szCs w:val="24"/>
        </w:rPr>
        <w:t xml:space="preserve"> The screenplay, “Anticipatory Repudiation,” falls</w:t>
      </w:r>
      <w:r>
        <w:rPr>
          <w:szCs w:val="24"/>
        </w:rPr>
        <w:t xml:space="preserve"> into the second category.</w:t>
      </w:r>
    </w:p>
    <w:p w14:paraId="51F984ED" w14:textId="77777777" w:rsidR="005870B6" w:rsidRPr="008107A8" w:rsidRDefault="00AC0BB1" w:rsidP="00CD5526">
      <w:pPr>
        <w:spacing w:line="480" w:lineRule="auto"/>
        <w:ind w:firstLine="720"/>
        <w:contextualSpacing/>
        <w:jc w:val="both"/>
        <w:rPr>
          <w:szCs w:val="24"/>
        </w:rPr>
      </w:pPr>
      <w:r w:rsidRPr="00AC0BB1">
        <w:rPr>
          <w:szCs w:val="24"/>
        </w:rPr>
        <w:t>T</w:t>
      </w:r>
      <w:r w:rsidR="000519A4" w:rsidRPr="00AC0BB1">
        <w:rPr>
          <w:szCs w:val="24"/>
        </w:rPr>
        <w:t>he parties signed a written agreement</w:t>
      </w:r>
      <w:r>
        <w:rPr>
          <w:szCs w:val="24"/>
        </w:rPr>
        <w:t xml:space="preserve"> pursuant to the requirement in § 101.</w:t>
      </w:r>
      <w:r w:rsidR="000519A4">
        <w:rPr>
          <w:szCs w:val="24"/>
        </w:rPr>
        <w:t xml:space="preserve"> </w:t>
      </w:r>
      <w:r w:rsidR="0040211B">
        <w:rPr>
          <w:szCs w:val="24"/>
        </w:rPr>
        <w:t>The text of the Copyright Act</w:t>
      </w:r>
      <w:r w:rsidR="000519A4">
        <w:rPr>
          <w:szCs w:val="24"/>
        </w:rPr>
        <w:t>, the legislative in</w:t>
      </w:r>
      <w:r w:rsidR="008B7C0B">
        <w:rPr>
          <w:szCs w:val="24"/>
        </w:rPr>
        <w:t>tent, the purpose of the requirement</w:t>
      </w:r>
      <w:r w:rsidR="000519A4">
        <w:rPr>
          <w:szCs w:val="24"/>
        </w:rPr>
        <w:t xml:space="preserve">, and rulings from other jurisdictions support </w:t>
      </w:r>
      <w:r w:rsidR="00CD5526">
        <w:rPr>
          <w:szCs w:val="24"/>
        </w:rPr>
        <w:t>that it</w:t>
      </w:r>
      <w:r>
        <w:rPr>
          <w:szCs w:val="24"/>
        </w:rPr>
        <w:t xml:space="preserve"> does not matter that this</w:t>
      </w:r>
      <w:r w:rsidR="00CD5526" w:rsidRPr="00CD5526">
        <w:rPr>
          <w:szCs w:val="24"/>
        </w:rPr>
        <w:t xml:space="preserve"> written agreement was signed subsequently to the creation of the work</w:t>
      </w:r>
      <w:r w:rsidR="00CD5526">
        <w:rPr>
          <w:szCs w:val="24"/>
        </w:rPr>
        <w:t>.</w:t>
      </w:r>
    </w:p>
    <w:p w14:paraId="6C6D6B7C" w14:textId="77777777" w:rsidR="00CB2CBB" w:rsidRPr="003F3CBB" w:rsidRDefault="00F3646A" w:rsidP="003F3CBB">
      <w:pPr>
        <w:pStyle w:val="ListParagraph"/>
        <w:numPr>
          <w:ilvl w:val="0"/>
          <w:numId w:val="4"/>
        </w:numPr>
        <w:rPr>
          <w:b/>
          <w:szCs w:val="24"/>
        </w:rPr>
      </w:pPr>
      <w:r w:rsidRPr="003F3CBB">
        <w:rPr>
          <w:b/>
          <w:szCs w:val="24"/>
        </w:rPr>
        <w:t xml:space="preserve">The Complaint Should Not Be Dismissed Because </w:t>
      </w:r>
      <w:r w:rsidR="00AE0058" w:rsidRPr="003F3CBB">
        <w:rPr>
          <w:b/>
          <w:szCs w:val="24"/>
        </w:rPr>
        <w:t>The Language</w:t>
      </w:r>
      <w:r w:rsidR="00B96E48" w:rsidRPr="003F3CBB">
        <w:rPr>
          <w:b/>
          <w:szCs w:val="24"/>
        </w:rPr>
        <w:t xml:space="preserve"> </w:t>
      </w:r>
      <w:r w:rsidR="00013CFC" w:rsidRPr="003F3CBB">
        <w:rPr>
          <w:b/>
          <w:szCs w:val="24"/>
        </w:rPr>
        <w:t>of 17 U.S.C. § 101</w:t>
      </w:r>
      <w:r w:rsidR="00B96E48" w:rsidRPr="003F3CBB">
        <w:rPr>
          <w:b/>
          <w:szCs w:val="24"/>
        </w:rPr>
        <w:t xml:space="preserve"> Does Not Require The Signed Writing To Precede the Creation of the Work</w:t>
      </w:r>
      <w:r w:rsidR="00857895" w:rsidRPr="003F3CBB">
        <w:rPr>
          <w:b/>
          <w:szCs w:val="24"/>
        </w:rPr>
        <w:t>.</w:t>
      </w:r>
    </w:p>
    <w:p w14:paraId="3CC169C2" w14:textId="77777777" w:rsidR="0008172F" w:rsidRDefault="0008172F" w:rsidP="0008172F">
      <w:pPr>
        <w:pStyle w:val="ListParagraph"/>
        <w:rPr>
          <w:b/>
          <w:szCs w:val="24"/>
        </w:rPr>
      </w:pPr>
    </w:p>
    <w:p w14:paraId="63031F1A" w14:textId="77777777" w:rsidR="0008172F" w:rsidRDefault="00EF4D63" w:rsidP="00F0294C">
      <w:pPr>
        <w:tabs>
          <w:tab w:val="left" w:pos="0"/>
        </w:tabs>
        <w:spacing w:line="480" w:lineRule="auto"/>
        <w:ind w:firstLine="720"/>
        <w:contextualSpacing/>
        <w:jc w:val="both"/>
        <w:rPr>
          <w:szCs w:val="24"/>
        </w:rPr>
      </w:pPr>
      <w:r w:rsidRPr="00EF4D63">
        <w:rPr>
          <w:szCs w:val="24"/>
        </w:rPr>
        <w:t>The pla</w:t>
      </w:r>
      <w:r w:rsidR="008028FD">
        <w:rPr>
          <w:szCs w:val="24"/>
        </w:rPr>
        <w:t>in text of the Copyright Act</w:t>
      </w:r>
      <w:r w:rsidR="00CD5526">
        <w:rPr>
          <w:szCs w:val="24"/>
        </w:rPr>
        <w:t xml:space="preserve"> is silent</w:t>
      </w:r>
      <w:r w:rsidRPr="00EF4D63">
        <w:rPr>
          <w:szCs w:val="24"/>
        </w:rPr>
        <w:t xml:space="preserve"> on the matter of when the written instrument must be signed in order for a commissioned work to become a work made for hire. The statute </w:t>
      </w:r>
      <w:r w:rsidR="008F700C">
        <w:rPr>
          <w:szCs w:val="24"/>
        </w:rPr>
        <w:t>states</w:t>
      </w:r>
      <w:r w:rsidRPr="00EF4D63">
        <w:rPr>
          <w:szCs w:val="24"/>
        </w:rPr>
        <w:t xml:space="preserve"> that a specially ordered or commissioned work will be considered a work made for hire “if the parties expressly agree in a written instrument signed by them that the work shall be </w:t>
      </w:r>
      <w:r w:rsidRPr="00EF4D63">
        <w:rPr>
          <w:szCs w:val="24"/>
        </w:rPr>
        <w:lastRenderedPageBreak/>
        <w:t xml:space="preserve">considered” as such. </w:t>
      </w:r>
      <w:proofErr w:type="gramStart"/>
      <w:r w:rsidRPr="00EF4D63">
        <w:rPr>
          <w:szCs w:val="24"/>
        </w:rPr>
        <w:t>17 U.S.C.A. § 101 (2010).</w:t>
      </w:r>
      <w:proofErr w:type="gramEnd"/>
      <w:r w:rsidR="00C15E86">
        <w:rPr>
          <w:szCs w:val="24"/>
        </w:rPr>
        <w:t xml:space="preserve"> </w:t>
      </w:r>
      <w:r w:rsidR="001E6F5F">
        <w:rPr>
          <w:szCs w:val="24"/>
        </w:rPr>
        <w:t xml:space="preserve">Because there is no stated condition </w:t>
      </w:r>
      <w:r w:rsidR="00B73ED1">
        <w:rPr>
          <w:szCs w:val="24"/>
        </w:rPr>
        <w:t xml:space="preserve">in the statute </w:t>
      </w:r>
      <w:r w:rsidR="001E6F5F">
        <w:rPr>
          <w:szCs w:val="24"/>
        </w:rPr>
        <w:t xml:space="preserve">which requires the writing to be signed prior to the creation of the work, </w:t>
      </w:r>
      <w:r w:rsidR="00B73ED1">
        <w:rPr>
          <w:szCs w:val="24"/>
        </w:rPr>
        <w:t>“Anticipatory Repudiation” is a work made for hire.</w:t>
      </w:r>
    </w:p>
    <w:p w14:paraId="09CD0A4E" w14:textId="77777777" w:rsidR="00C15E86" w:rsidRDefault="00C15E86" w:rsidP="00C15E86">
      <w:pPr>
        <w:pStyle w:val="ListParagraph"/>
        <w:numPr>
          <w:ilvl w:val="0"/>
          <w:numId w:val="5"/>
        </w:numPr>
        <w:tabs>
          <w:tab w:val="left" w:pos="0"/>
        </w:tabs>
        <w:ind w:left="1080" w:hanging="720"/>
        <w:rPr>
          <w:b/>
          <w:szCs w:val="24"/>
        </w:rPr>
      </w:pPr>
      <w:r w:rsidRPr="00C15E86">
        <w:rPr>
          <w:b/>
          <w:szCs w:val="24"/>
        </w:rPr>
        <w:t xml:space="preserve">By Negative Implication, </w:t>
      </w:r>
      <w:r w:rsidR="000E1DE7" w:rsidRPr="00C15E86">
        <w:rPr>
          <w:b/>
          <w:szCs w:val="24"/>
        </w:rPr>
        <w:t>the</w:t>
      </w:r>
      <w:r w:rsidRPr="00C15E86">
        <w:rPr>
          <w:b/>
          <w:szCs w:val="24"/>
        </w:rPr>
        <w:t xml:space="preserve"> Omission of an Express or Implied </w:t>
      </w:r>
      <w:r>
        <w:rPr>
          <w:b/>
          <w:szCs w:val="24"/>
        </w:rPr>
        <w:t>Conditio</w:t>
      </w:r>
      <w:r w:rsidR="00E62DE9">
        <w:rPr>
          <w:b/>
          <w:szCs w:val="24"/>
        </w:rPr>
        <w:t>n on the Writing Requirement Is</w:t>
      </w:r>
      <w:r>
        <w:rPr>
          <w:b/>
          <w:szCs w:val="24"/>
        </w:rPr>
        <w:t xml:space="preserve"> Purposeful and Relevant to</w:t>
      </w:r>
      <w:r w:rsidR="000E1DE7">
        <w:rPr>
          <w:b/>
          <w:szCs w:val="24"/>
        </w:rPr>
        <w:t xml:space="preserve"> the</w:t>
      </w:r>
      <w:r>
        <w:rPr>
          <w:b/>
          <w:szCs w:val="24"/>
        </w:rPr>
        <w:t xml:space="preserve"> Interpretation</w:t>
      </w:r>
      <w:r w:rsidR="000E1DE7">
        <w:rPr>
          <w:b/>
          <w:szCs w:val="24"/>
        </w:rPr>
        <w:t xml:space="preserve"> of 17 U.S.C. § 101</w:t>
      </w:r>
      <w:r>
        <w:rPr>
          <w:b/>
          <w:szCs w:val="24"/>
        </w:rPr>
        <w:t>.</w:t>
      </w:r>
    </w:p>
    <w:p w14:paraId="1A110E5B" w14:textId="77777777" w:rsidR="00C15E86" w:rsidRPr="00C15E86" w:rsidRDefault="00C15E86" w:rsidP="00C15E86">
      <w:pPr>
        <w:tabs>
          <w:tab w:val="left" w:pos="0"/>
        </w:tabs>
        <w:ind w:left="360"/>
        <w:rPr>
          <w:b/>
          <w:szCs w:val="24"/>
        </w:rPr>
      </w:pPr>
    </w:p>
    <w:p w14:paraId="1B607F7E" w14:textId="77777777" w:rsidR="00EF4D63" w:rsidRPr="007A44A4" w:rsidRDefault="000E1DE7" w:rsidP="00F0294C">
      <w:pPr>
        <w:tabs>
          <w:tab w:val="left" w:pos="0"/>
        </w:tabs>
        <w:spacing w:line="480" w:lineRule="auto"/>
        <w:ind w:firstLine="720"/>
        <w:contextualSpacing/>
        <w:jc w:val="both"/>
        <w:rPr>
          <w:szCs w:val="24"/>
        </w:rPr>
      </w:pPr>
      <w:r w:rsidRPr="007A44A4">
        <w:rPr>
          <w:szCs w:val="24"/>
        </w:rPr>
        <w:t>The Copyright Act lacks</w:t>
      </w:r>
      <w:r w:rsidR="00B93045" w:rsidRPr="007A44A4">
        <w:rPr>
          <w:szCs w:val="24"/>
        </w:rPr>
        <w:t xml:space="preserve"> an explicit or implicit condition</w:t>
      </w:r>
      <w:r w:rsidR="00EF4D63" w:rsidRPr="007A44A4">
        <w:rPr>
          <w:szCs w:val="24"/>
        </w:rPr>
        <w:t xml:space="preserve"> specifying when the written agreement</w:t>
      </w:r>
      <w:r w:rsidR="003A7E34" w:rsidRPr="007A44A4">
        <w:rPr>
          <w:szCs w:val="24"/>
        </w:rPr>
        <w:t xml:space="preserve"> for a work made for hire</w:t>
      </w:r>
      <w:r w:rsidR="00EF4D63" w:rsidRPr="007A44A4">
        <w:rPr>
          <w:szCs w:val="24"/>
        </w:rPr>
        <w:t xml:space="preserve"> needs to be signed. </w:t>
      </w:r>
      <w:r w:rsidR="007A44A4" w:rsidRPr="007A44A4">
        <w:rPr>
          <w:szCs w:val="24"/>
        </w:rPr>
        <w:t xml:space="preserve">The broad statutory interpretation canon invoked by the silence of the language on an issue is negative implication. Negative implication generally is the idea that by choosing certain words or phrasing, Congress by implication leaves out all other words or possible phrasings. </w:t>
      </w:r>
      <w:r w:rsidR="007A44A4" w:rsidRPr="007A44A4">
        <w:rPr>
          <w:i/>
          <w:szCs w:val="24"/>
        </w:rPr>
        <w:t xml:space="preserve">See </w:t>
      </w:r>
      <w:proofErr w:type="spellStart"/>
      <w:r w:rsidR="007A44A4" w:rsidRPr="007A44A4">
        <w:rPr>
          <w:i/>
          <w:szCs w:val="24"/>
        </w:rPr>
        <w:t>Hamdan</w:t>
      </w:r>
      <w:proofErr w:type="spellEnd"/>
      <w:r w:rsidR="007A44A4" w:rsidRPr="007A44A4">
        <w:rPr>
          <w:i/>
          <w:szCs w:val="24"/>
        </w:rPr>
        <w:t xml:space="preserve"> v. Rumsfeld</w:t>
      </w:r>
      <w:r w:rsidR="007A44A4" w:rsidRPr="007A44A4">
        <w:rPr>
          <w:szCs w:val="24"/>
        </w:rPr>
        <w:t xml:space="preserve">, 548 U.S. 557, 578 (2006). There is a specific form of negative implication when applied to the absence of conditions. </w:t>
      </w:r>
      <w:r w:rsidR="00EF4D63" w:rsidRPr="007A44A4">
        <w:rPr>
          <w:szCs w:val="24"/>
        </w:rPr>
        <w:t>Th</w:t>
      </w:r>
      <w:r w:rsidR="007A44A4" w:rsidRPr="007A44A4">
        <w:rPr>
          <w:szCs w:val="24"/>
        </w:rPr>
        <w:t>is</w:t>
      </w:r>
      <w:r w:rsidR="00EF4D63" w:rsidRPr="007A44A4">
        <w:rPr>
          <w:szCs w:val="24"/>
        </w:rPr>
        <w:t xml:space="preserve"> statutory interpretation canon</w:t>
      </w:r>
      <w:r w:rsidR="000B04A8" w:rsidRPr="007A44A4">
        <w:rPr>
          <w:szCs w:val="24"/>
        </w:rPr>
        <w:t xml:space="preserve"> regarding exceptions and provisos says that </w:t>
      </w:r>
      <w:r w:rsidR="00B97E0B" w:rsidRPr="007A44A4">
        <w:rPr>
          <w:szCs w:val="24"/>
        </w:rPr>
        <w:t xml:space="preserve">the search for </w:t>
      </w:r>
      <w:r w:rsidR="000B04A8" w:rsidRPr="007A44A4">
        <w:rPr>
          <w:szCs w:val="24"/>
        </w:rPr>
        <w:t xml:space="preserve">such a condition on </w:t>
      </w:r>
      <w:r w:rsidR="00FA1D66" w:rsidRPr="007A44A4">
        <w:rPr>
          <w:szCs w:val="24"/>
        </w:rPr>
        <w:t>the signed writing requirement</w:t>
      </w:r>
      <w:r w:rsidR="007A44A4" w:rsidRPr="007A44A4">
        <w:rPr>
          <w:szCs w:val="24"/>
        </w:rPr>
        <w:t xml:space="preserve"> is not the preferred method – rather, it is best to</w:t>
      </w:r>
      <w:r w:rsidR="00FA1D66" w:rsidRPr="007A44A4">
        <w:rPr>
          <w:szCs w:val="24"/>
        </w:rPr>
        <w:t xml:space="preserve"> “stick close to the text and not import argumentative qualifications from broad, unexpressed claims of policy.” </w:t>
      </w:r>
      <w:r w:rsidR="00FA1D66" w:rsidRPr="007A44A4">
        <w:rPr>
          <w:i/>
          <w:szCs w:val="24"/>
        </w:rPr>
        <w:t>Utah Junk Co. v. Porter,</w:t>
      </w:r>
      <w:r w:rsidR="00FA1D66" w:rsidRPr="007A44A4">
        <w:rPr>
          <w:szCs w:val="24"/>
        </w:rPr>
        <w:t xml:space="preserve"> 328 U.S. 39, 44 (1946). </w:t>
      </w:r>
      <w:r w:rsidR="000B04A8" w:rsidRPr="007A44A4">
        <w:rPr>
          <w:szCs w:val="24"/>
        </w:rPr>
        <w:t>This</w:t>
      </w:r>
      <w:r w:rsidR="001F249D" w:rsidRPr="007A44A4">
        <w:rPr>
          <w:szCs w:val="24"/>
        </w:rPr>
        <w:t xml:space="preserve"> canon</w:t>
      </w:r>
      <w:r w:rsidR="000B04A8" w:rsidRPr="007A44A4">
        <w:rPr>
          <w:szCs w:val="24"/>
        </w:rPr>
        <w:t xml:space="preserve"> states that express exceptions and provisos are to be narrowly construed and no other exception</w:t>
      </w:r>
      <w:r w:rsidR="00BE562C" w:rsidRPr="007A44A4">
        <w:rPr>
          <w:szCs w:val="24"/>
        </w:rPr>
        <w:t xml:space="preserve">s or provisos are to be implied unless there is a compelling reason to do so. </w:t>
      </w:r>
      <w:r w:rsidR="00BE562C" w:rsidRPr="007A44A4">
        <w:rPr>
          <w:i/>
          <w:szCs w:val="24"/>
        </w:rPr>
        <w:t xml:space="preserve">See </w:t>
      </w:r>
      <w:r w:rsidR="00A13FD0" w:rsidRPr="007A44A4">
        <w:rPr>
          <w:i/>
          <w:szCs w:val="24"/>
        </w:rPr>
        <w:t xml:space="preserve">United States v. Rutherford, </w:t>
      </w:r>
      <w:r w:rsidR="00A13FD0" w:rsidRPr="007A44A4">
        <w:rPr>
          <w:szCs w:val="24"/>
        </w:rPr>
        <w:t>442 U.S. 544, 552 (1979);</w:t>
      </w:r>
      <w:r w:rsidR="00A13FD0" w:rsidRPr="007A44A4">
        <w:rPr>
          <w:i/>
          <w:szCs w:val="24"/>
        </w:rPr>
        <w:t xml:space="preserve"> </w:t>
      </w:r>
      <w:proofErr w:type="spellStart"/>
      <w:r w:rsidR="00BE562C" w:rsidRPr="007A44A4">
        <w:rPr>
          <w:i/>
          <w:szCs w:val="24"/>
        </w:rPr>
        <w:t>Hillis</w:t>
      </w:r>
      <w:proofErr w:type="spellEnd"/>
      <w:r w:rsidR="00BE562C" w:rsidRPr="007A44A4">
        <w:rPr>
          <w:i/>
          <w:szCs w:val="24"/>
        </w:rPr>
        <w:t xml:space="preserve"> v. </w:t>
      </w:r>
      <w:proofErr w:type="spellStart"/>
      <w:r w:rsidR="00BE562C" w:rsidRPr="007A44A4">
        <w:rPr>
          <w:i/>
          <w:szCs w:val="24"/>
        </w:rPr>
        <w:t>Heineman</w:t>
      </w:r>
      <w:proofErr w:type="spellEnd"/>
      <w:r w:rsidR="00BE562C" w:rsidRPr="007A44A4">
        <w:rPr>
          <w:i/>
          <w:szCs w:val="24"/>
        </w:rPr>
        <w:t>,</w:t>
      </w:r>
      <w:r w:rsidR="00BE562C" w:rsidRPr="007A44A4">
        <w:rPr>
          <w:szCs w:val="24"/>
        </w:rPr>
        <w:t xml:space="preserve"> 626 F.3d 1014, 1017 (9th</w:t>
      </w:r>
      <w:r w:rsidR="00A13FD0" w:rsidRPr="007A44A4">
        <w:rPr>
          <w:szCs w:val="24"/>
        </w:rPr>
        <w:t xml:space="preserve"> Cir. 2010)</w:t>
      </w:r>
      <w:r w:rsidR="00D7542A" w:rsidRPr="007A44A4">
        <w:rPr>
          <w:szCs w:val="24"/>
        </w:rPr>
        <w:t>.</w:t>
      </w:r>
      <w:r w:rsidR="000B04A8" w:rsidRPr="007A44A4">
        <w:rPr>
          <w:szCs w:val="24"/>
        </w:rPr>
        <w:t xml:space="preserve"> </w:t>
      </w:r>
      <w:r w:rsidR="00F315D9" w:rsidRPr="007A44A4">
        <w:rPr>
          <w:szCs w:val="24"/>
        </w:rPr>
        <w:t xml:space="preserve">These canons are largely based on the premise that </w:t>
      </w:r>
      <w:r w:rsidR="000B04A8" w:rsidRPr="007A44A4">
        <w:rPr>
          <w:szCs w:val="24"/>
        </w:rPr>
        <w:t>Congress knows how to explicitly include exceptions and c</w:t>
      </w:r>
      <w:r w:rsidR="00075B33" w:rsidRPr="007A44A4">
        <w:rPr>
          <w:szCs w:val="24"/>
        </w:rPr>
        <w:t>onditions in statutory language when it feels the need to</w:t>
      </w:r>
      <w:r w:rsidR="00F315D9" w:rsidRPr="007A44A4">
        <w:rPr>
          <w:szCs w:val="24"/>
        </w:rPr>
        <w:t>.</w:t>
      </w:r>
      <w:r w:rsidR="00075B33" w:rsidRPr="007A44A4">
        <w:rPr>
          <w:szCs w:val="24"/>
        </w:rPr>
        <w:t xml:space="preserve"> </w:t>
      </w:r>
      <w:r w:rsidR="00893BA3" w:rsidRPr="007A44A4">
        <w:rPr>
          <w:szCs w:val="24"/>
        </w:rPr>
        <w:t>Courts are to presume</w:t>
      </w:r>
      <w:r w:rsidR="009A7C83" w:rsidRPr="007A44A4">
        <w:rPr>
          <w:szCs w:val="24"/>
        </w:rPr>
        <w:t xml:space="preserve"> that </w:t>
      </w:r>
      <w:r w:rsidR="00EA4D91" w:rsidRPr="007A44A4">
        <w:rPr>
          <w:szCs w:val="24"/>
        </w:rPr>
        <w:t>if Congress had meant to include a qualification on a provision in a statute, it would have done so in express terms</w:t>
      </w:r>
      <w:r w:rsidR="0085389B" w:rsidRPr="007A44A4">
        <w:rPr>
          <w:szCs w:val="24"/>
        </w:rPr>
        <w:t>.</w:t>
      </w:r>
      <w:r w:rsidR="00E6076A" w:rsidRPr="007A44A4">
        <w:rPr>
          <w:szCs w:val="24"/>
        </w:rPr>
        <w:t xml:space="preserve"> This is especially so if the exception or condition to be read into the statute</w:t>
      </w:r>
      <w:r w:rsidR="007A44A4" w:rsidRPr="007A44A4">
        <w:rPr>
          <w:szCs w:val="24"/>
        </w:rPr>
        <w:t xml:space="preserve"> is one commonly used elsewhere, or the statute in question uses express conditions in its </w:t>
      </w:r>
      <w:r w:rsidR="007A44A4" w:rsidRPr="007A44A4">
        <w:rPr>
          <w:szCs w:val="24"/>
        </w:rPr>
        <w:lastRenderedPageBreak/>
        <w:t>other sections.</w:t>
      </w:r>
    </w:p>
    <w:p w14:paraId="6007D4B8" w14:textId="77777777" w:rsidR="00DD3C96" w:rsidRDefault="00B97E0B" w:rsidP="00F0294C">
      <w:pPr>
        <w:tabs>
          <w:tab w:val="left" w:pos="0"/>
        </w:tabs>
        <w:spacing w:line="480" w:lineRule="auto"/>
        <w:ind w:firstLine="720"/>
        <w:contextualSpacing/>
        <w:jc w:val="both"/>
        <w:rPr>
          <w:szCs w:val="24"/>
        </w:rPr>
      </w:pPr>
      <w:r w:rsidRPr="00B97E0B">
        <w:rPr>
          <w:szCs w:val="24"/>
        </w:rPr>
        <w:t>There is no mention of an order of events, or language hinting at an implied order of events in the definition of a work made for hire.</w:t>
      </w:r>
      <w:r>
        <w:rPr>
          <w:szCs w:val="24"/>
        </w:rPr>
        <w:t xml:space="preserve"> </w:t>
      </w:r>
      <w:r w:rsidR="00874647">
        <w:rPr>
          <w:szCs w:val="24"/>
        </w:rPr>
        <w:t>Loo</w:t>
      </w:r>
      <w:r w:rsidR="00884559">
        <w:rPr>
          <w:szCs w:val="24"/>
        </w:rPr>
        <w:t>king to § 101</w:t>
      </w:r>
      <w:r w:rsidR="007B19D5">
        <w:rPr>
          <w:szCs w:val="24"/>
        </w:rPr>
        <w:t>, to say that the written agreement must be signed prior to the</w:t>
      </w:r>
      <w:r w:rsidR="004B7EAD">
        <w:rPr>
          <w:szCs w:val="24"/>
        </w:rPr>
        <w:t xml:space="preserve"> creation of the work is</w:t>
      </w:r>
      <w:r w:rsidR="007B19D5">
        <w:rPr>
          <w:szCs w:val="24"/>
        </w:rPr>
        <w:t xml:space="preserve"> a condition on the work made for hire doctrine that does not appear in the express language of the statute. By the more general canon of negative implication, or by its more specific form when applied to exceptions and provisos, this sort of condition should not be implied in</w:t>
      </w:r>
      <w:r w:rsidR="00221A86">
        <w:rPr>
          <w:szCs w:val="24"/>
        </w:rPr>
        <w:t>to the statute</w:t>
      </w:r>
      <w:r w:rsidR="007B19D5">
        <w:rPr>
          <w:szCs w:val="24"/>
        </w:rPr>
        <w:t xml:space="preserve"> absen</w:t>
      </w:r>
      <w:r w:rsidR="008D2BE0">
        <w:rPr>
          <w:szCs w:val="24"/>
        </w:rPr>
        <w:t>t a compelling reason to do so.</w:t>
      </w:r>
    </w:p>
    <w:p w14:paraId="27788FC8" w14:textId="77777777" w:rsidR="008D2BE0" w:rsidRDefault="003B4289" w:rsidP="00F0294C">
      <w:pPr>
        <w:tabs>
          <w:tab w:val="left" w:pos="0"/>
        </w:tabs>
        <w:spacing w:line="480" w:lineRule="auto"/>
        <w:ind w:firstLine="720"/>
        <w:contextualSpacing/>
        <w:jc w:val="both"/>
        <w:rPr>
          <w:szCs w:val="24"/>
        </w:rPr>
      </w:pPr>
      <w:r>
        <w:rPr>
          <w:szCs w:val="24"/>
        </w:rPr>
        <w:t>Because the language of the signed writing requirement is not modified by a</w:t>
      </w:r>
      <w:r w:rsidR="00AB20D0">
        <w:rPr>
          <w:szCs w:val="24"/>
        </w:rPr>
        <w:t>ny exception or condition, the application of</w:t>
      </w:r>
      <w:r>
        <w:rPr>
          <w:szCs w:val="24"/>
        </w:rPr>
        <w:t xml:space="preserve"> these two canons</w:t>
      </w:r>
      <w:r w:rsidR="00AB20D0">
        <w:rPr>
          <w:szCs w:val="24"/>
        </w:rPr>
        <w:t xml:space="preserve"> to the statute</w:t>
      </w:r>
      <w:r>
        <w:rPr>
          <w:szCs w:val="24"/>
        </w:rPr>
        <w:t xml:space="preserve"> leads to the conclusion that the timing of the execution of the written agreement does not have any bearing o</w:t>
      </w:r>
      <w:r w:rsidR="004D6A01">
        <w:rPr>
          <w:szCs w:val="24"/>
        </w:rPr>
        <w:t>n the validity of the agreement or status of the commissioning party as the author.</w:t>
      </w:r>
    </w:p>
    <w:p w14:paraId="5730A593" w14:textId="77777777" w:rsidR="00B479E9" w:rsidRPr="00B479E9" w:rsidRDefault="00B479E9" w:rsidP="00B479E9">
      <w:pPr>
        <w:pStyle w:val="ListParagraph"/>
        <w:numPr>
          <w:ilvl w:val="0"/>
          <w:numId w:val="5"/>
        </w:numPr>
        <w:tabs>
          <w:tab w:val="left" w:pos="0"/>
        </w:tabs>
        <w:spacing w:line="480" w:lineRule="auto"/>
        <w:ind w:left="1080" w:hanging="720"/>
        <w:rPr>
          <w:b/>
          <w:szCs w:val="24"/>
        </w:rPr>
      </w:pPr>
      <w:r>
        <w:rPr>
          <w:b/>
          <w:szCs w:val="24"/>
        </w:rPr>
        <w:t>The Court Cannot Add or Subtract Words From the Statute</w:t>
      </w:r>
      <w:r w:rsidR="00E62DE9">
        <w:rPr>
          <w:b/>
          <w:szCs w:val="24"/>
        </w:rPr>
        <w:t>.</w:t>
      </w:r>
    </w:p>
    <w:p w14:paraId="004CE1E8" w14:textId="77777777" w:rsidR="00A94740" w:rsidRDefault="00E62DE9" w:rsidP="00F0294C">
      <w:pPr>
        <w:tabs>
          <w:tab w:val="left" w:pos="0"/>
        </w:tabs>
        <w:spacing w:line="480" w:lineRule="auto"/>
        <w:ind w:firstLine="720"/>
        <w:contextualSpacing/>
        <w:jc w:val="both"/>
        <w:rPr>
          <w:szCs w:val="24"/>
        </w:rPr>
      </w:pPr>
      <w:r>
        <w:rPr>
          <w:szCs w:val="24"/>
        </w:rPr>
        <w:t>A</w:t>
      </w:r>
      <w:r w:rsidR="00D7542A">
        <w:rPr>
          <w:szCs w:val="24"/>
        </w:rPr>
        <w:t xml:space="preserve">nother </w:t>
      </w:r>
      <w:r w:rsidR="00C0713A">
        <w:rPr>
          <w:szCs w:val="24"/>
        </w:rPr>
        <w:t xml:space="preserve">rule of interpretation </w:t>
      </w:r>
      <w:r w:rsidR="00D7542A">
        <w:rPr>
          <w:szCs w:val="24"/>
        </w:rPr>
        <w:t xml:space="preserve">it </w:t>
      </w:r>
      <w:r w:rsidR="00C0713A">
        <w:rPr>
          <w:szCs w:val="24"/>
        </w:rPr>
        <w:t xml:space="preserve">that </w:t>
      </w:r>
      <w:r w:rsidR="00D7542A">
        <w:rPr>
          <w:szCs w:val="24"/>
        </w:rPr>
        <w:t xml:space="preserve">is not in the Court’s power to write things into a statute that were not present initially. The court is “not allowed to add or subtract words from a statute; [the court] cannot rewrite it.” </w:t>
      </w:r>
      <w:r w:rsidR="00D7542A">
        <w:rPr>
          <w:i/>
          <w:szCs w:val="24"/>
        </w:rPr>
        <w:t>Friends of Everglades v. South Florida Water Management Dist.</w:t>
      </w:r>
      <w:r w:rsidR="00D7542A">
        <w:rPr>
          <w:szCs w:val="24"/>
        </w:rPr>
        <w:t>, 570 F.3d 1210, 1224 (11</w:t>
      </w:r>
      <w:r w:rsidR="00D7542A" w:rsidRPr="00DD3C96">
        <w:rPr>
          <w:szCs w:val="24"/>
        </w:rPr>
        <w:t>th</w:t>
      </w:r>
      <w:r w:rsidR="00D7542A">
        <w:rPr>
          <w:szCs w:val="24"/>
        </w:rPr>
        <w:t xml:space="preserve"> Cir. 2009)</w:t>
      </w:r>
      <w:r w:rsidR="00DD3C96">
        <w:rPr>
          <w:szCs w:val="24"/>
        </w:rPr>
        <w:t xml:space="preserve">; </w:t>
      </w:r>
      <w:r w:rsidR="00DD3C96">
        <w:rPr>
          <w:i/>
          <w:szCs w:val="24"/>
        </w:rPr>
        <w:t>See also 62 Cases, More or Less, Each Containing Six Jars of Jam v. United States,</w:t>
      </w:r>
      <w:r w:rsidR="00DD3C96">
        <w:rPr>
          <w:szCs w:val="24"/>
        </w:rPr>
        <w:t xml:space="preserve"> 340 U.S. 593, 596 (1951). </w:t>
      </w:r>
    </w:p>
    <w:p w14:paraId="20832B2B" w14:textId="77777777" w:rsidR="00874647" w:rsidRDefault="00254220" w:rsidP="00A94740">
      <w:pPr>
        <w:tabs>
          <w:tab w:val="left" w:pos="0"/>
        </w:tabs>
        <w:spacing w:line="480" w:lineRule="auto"/>
        <w:ind w:firstLine="720"/>
        <w:contextualSpacing/>
        <w:jc w:val="both"/>
        <w:rPr>
          <w:szCs w:val="24"/>
        </w:rPr>
      </w:pPr>
      <w:r>
        <w:rPr>
          <w:szCs w:val="24"/>
        </w:rPr>
        <w:t>N</w:t>
      </w:r>
      <w:r w:rsidR="00E02F5E">
        <w:rPr>
          <w:szCs w:val="24"/>
        </w:rPr>
        <w:t>o condition relating to the timing of the written agreement’s execution is included in the statutory language</w:t>
      </w:r>
      <w:r w:rsidR="00BE6E17">
        <w:rPr>
          <w:szCs w:val="24"/>
        </w:rPr>
        <w:t xml:space="preserve"> in our current case</w:t>
      </w:r>
      <w:r>
        <w:rPr>
          <w:szCs w:val="24"/>
        </w:rPr>
        <w:t>, and t</w:t>
      </w:r>
      <w:r w:rsidR="00A53055">
        <w:rPr>
          <w:szCs w:val="24"/>
        </w:rPr>
        <w:t xml:space="preserve">here is a complete lack of any indication that this condition was meant to be included. </w:t>
      </w:r>
      <w:r w:rsidR="004B3F41">
        <w:rPr>
          <w:szCs w:val="24"/>
        </w:rPr>
        <w:t>Because of this, i</w:t>
      </w:r>
      <w:r w:rsidR="00BE6E17">
        <w:rPr>
          <w:szCs w:val="24"/>
        </w:rPr>
        <w:t>n order to recognize such a</w:t>
      </w:r>
      <w:r w:rsidR="00307051">
        <w:rPr>
          <w:szCs w:val="24"/>
        </w:rPr>
        <w:t xml:space="preserve"> condition, the Court would be forced</w:t>
      </w:r>
      <w:r w:rsidR="00BE6E17">
        <w:rPr>
          <w:szCs w:val="24"/>
        </w:rPr>
        <w:t xml:space="preserve"> to essentially write it into the statu</w:t>
      </w:r>
      <w:r w:rsidR="004B3F41">
        <w:rPr>
          <w:szCs w:val="24"/>
        </w:rPr>
        <w:t>te.</w:t>
      </w:r>
      <w:r w:rsidR="00BE6E17">
        <w:rPr>
          <w:szCs w:val="24"/>
        </w:rPr>
        <w:t xml:space="preserve"> </w:t>
      </w:r>
      <w:r w:rsidR="00A94740" w:rsidRPr="00A94740">
        <w:rPr>
          <w:szCs w:val="24"/>
        </w:rPr>
        <w:t>This is precisely what the Defend</w:t>
      </w:r>
      <w:r w:rsidR="00A94740">
        <w:rPr>
          <w:szCs w:val="24"/>
        </w:rPr>
        <w:t>ants are requesting the Court</w:t>
      </w:r>
      <w:r w:rsidR="00A94740" w:rsidRPr="00A94740">
        <w:rPr>
          <w:szCs w:val="24"/>
        </w:rPr>
        <w:t xml:space="preserve"> do.</w:t>
      </w:r>
      <w:r w:rsidR="00A94740">
        <w:rPr>
          <w:szCs w:val="24"/>
        </w:rPr>
        <w:t xml:space="preserve"> </w:t>
      </w:r>
      <w:r w:rsidR="004B3F41">
        <w:rPr>
          <w:szCs w:val="24"/>
        </w:rPr>
        <w:t xml:space="preserve">This is a power </w:t>
      </w:r>
      <w:r w:rsidR="00BE6E17">
        <w:rPr>
          <w:szCs w:val="24"/>
        </w:rPr>
        <w:t>which courts do not have</w:t>
      </w:r>
      <w:r w:rsidR="004B3F41">
        <w:rPr>
          <w:szCs w:val="24"/>
        </w:rPr>
        <w:t xml:space="preserve">, and have </w:t>
      </w:r>
      <w:r w:rsidR="004B3F41">
        <w:rPr>
          <w:szCs w:val="24"/>
        </w:rPr>
        <w:lastRenderedPageBreak/>
        <w:t>never had,</w:t>
      </w:r>
      <w:r w:rsidR="00BE6E17">
        <w:rPr>
          <w:szCs w:val="24"/>
        </w:rPr>
        <w:t xml:space="preserve"> the power to do. Courts are there to interpret law, not to make law. A court finding conditions where they are not included and not somehow implied comes dangerously close to acting a legislative role by way of effectively writing words into the statute’s language.</w:t>
      </w:r>
      <w:r w:rsidR="00C1593B">
        <w:rPr>
          <w:szCs w:val="24"/>
        </w:rPr>
        <w:t xml:space="preserve"> </w:t>
      </w:r>
      <w:r w:rsidR="00D80150">
        <w:rPr>
          <w:szCs w:val="24"/>
        </w:rPr>
        <w:t>Actions of this type not only involve quasi-legislative changes to statutory law by courts but</w:t>
      </w:r>
      <w:r w:rsidR="00EB3F58">
        <w:rPr>
          <w:szCs w:val="24"/>
        </w:rPr>
        <w:t xml:space="preserve"> also</w:t>
      </w:r>
      <w:r w:rsidR="00D80150">
        <w:rPr>
          <w:szCs w:val="24"/>
        </w:rPr>
        <w:t xml:space="preserve"> implicate broad separation of powers concerns.</w:t>
      </w:r>
    </w:p>
    <w:p w14:paraId="631BD8B4" w14:textId="77777777" w:rsidR="000938B8" w:rsidRDefault="00906739" w:rsidP="007930E0">
      <w:pPr>
        <w:tabs>
          <w:tab w:val="left" w:pos="0"/>
        </w:tabs>
        <w:spacing w:line="480" w:lineRule="auto"/>
        <w:ind w:firstLine="720"/>
        <w:contextualSpacing/>
        <w:jc w:val="both"/>
        <w:rPr>
          <w:szCs w:val="24"/>
        </w:rPr>
      </w:pPr>
      <w:r>
        <w:rPr>
          <w:szCs w:val="24"/>
        </w:rPr>
        <w:t xml:space="preserve">Because </w:t>
      </w:r>
      <w:r w:rsidR="00254220">
        <w:rPr>
          <w:szCs w:val="24"/>
        </w:rPr>
        <w:t>interpreting otherwise would require the Court to</w:t>
      </w:r>
      <w:r>
        <w:rPr>
          <w:szCs w:val="24"/>
        </w:rPr>
        <w:t xml:space="preserve"> write in language that is not there, and beca</w:t>
      </w:r>
      <w:r w:rsidR="00C1593B">
        <w:rPr>
          <w:szCs w:val="24"/>
        </w:rPr>
        <w:t>use reading the statute as it stands</w:t>
      </w:r>
      <w:r>
        <w:rPr>
          <w:szCs w:val="24"/>
        </w:rPr>
        <w:t xml:space="preserve"> does not lead to any absurdities</w:t>
      </w:r>
      <w:r w:rsidR="00C1593B">
        <w:rPr>
          <w:szCs w:val="24"/>
        </w:rPr>
        <w:t xml:space="preserve"> or unjust outcomes</w:t>
      </w:r>
      <w:r>
        <w:rPr>
          <w:szCs w:val="24"/>
        </w:rPr>
        <w:t xml:space="preserve">, </w:t>
      </w:r>
      <w:r w:rsidR="00363AD8">
        <w:rPr>
          <w:szCs w:val="24"/>
        </w:rPr>
        <w:t>§ 101</w:t>
      </w:r>
      <w:r w:rsidR="00C1593B">
        <w:rPr>
          <w:szCs w:val="24"/>
        </w:rPr>
        <w:t xml:space="preserve"> must be read as placing</w:t>
      </w:r>
      <w:r>
        <w:rPr>
          <w:szCs w:val="24"/>
        </w:rPr>
        <w:t xml:space="preserve"> no condition on when the writing must be signed.</w:t>
      </w:r>
    </w:p>
    <w:p w14:paraId="3E554F93" w14:textId="77777777" w:rsidR="00E62DE9" w:rsidRDefault="00E62DE9" w:rsidP="004831E4">
      <w:pPr>
        <w:pStyle w:val="ListParagraph"/>
        <w:numPr>
          <w:ilvl w:val="0"/>
          <w:numId w:val="5"/>
        </w:numPr>
        <w:tabs>
          <w:tab w:val="left" w:pos="0"/>
        </w:tabs>
        <w:ind w:left="1080" w:hanging="720"/>
        <w:rPr>
          <w:b/>
          <w:szCs w:val="24"/>
        </w:rPr>
      </w:pPr>
      <w:r>
        <w:rPr>
          <w:b/>
          <w:szCs w:val="24"/>
        </w:rPr>
        <w:t>Defendants’ Internal Co</w:t>
      </w:r>
      <w:r w:rsidR="004831E4">
        <w:rPr>
          <w:b/>
          <w:szCs w:val="24"/>
        </w:rPr>
        <w:t>nsistency Argument is Based on the</w:t>
      </w:r>
      <w:r>
        <w:rPr>
          <w:b/>
          <w:szCs w:val="24"/>
        </w:rPr>
        <w:t xml:space="preserve"> Faulty Assumpt</w:t>
      </w:r>
      <w:r w:rsidR="004831E4">
        <w:rPr>
          <w:b/>
          <w:szCs w:val="24"/>
        </w:rPr>
        <w:t>ion that OGS’s Interpretation Makes the Work Made for Hire Doctrine and Transfer of Copyright Redundant</w:t>
      </w:r>
    </w:p>
    <w:p w14:paraId="69DAA09A" w14:textId="77777777" w:rsidR="004831E4" w:rsidRPr="004831E4" w:rsidRDefault="004831E4" w:rsidP="004831E4">
      <w:pPr>
        <w:tabs>
          <w:tab w:val="left" w:pos="0"/>
        </w:tabs>
        <w:ind w:left="360"/>
        <w:rPr>
          <w:b/>
          <w:szCs w:val="24"/>
        </w:rPr>
      </w:pPr>
    </w:p>
    <w:p w14:paraId="03502ADC" w14:textId="77777777" w:rsidR="006455BF" w:rsidRDefault="00254220" w:rsidP="00F0294C">
      <w:pPr>
        <w:tabs>
          <w:tab w:val="left" w:pos="0"/>
        </w:tabs>
        <w:spacing w:line="480" w:lineRule="auto"/>
        <w:ind w:firstLine="720"/>
        <w:contextualSpacing/>
        <w:jc w:val="both"/>
        <w:rPr>
          <w:szCs w:val="24"/>
        </w:rPr>
      </w:pPr>
      <w:r>
        <w:rPr>
          <w:szCs w:val="24"/>
        </w:rPr>
        <w:t>Defendants</w:t>
      </w:r>
      <w:r w:rsidR="006455BF">
        <w:rPr>
          <w:szCs w:val="24"/>
        </w:rPr>
        <w:t xml:space="preserve"> argue that the interna</w:t>
      </w:r>
      <w:r>
        <w:rPr>
          <w:szCs w:val="24"/>
        </w:rPr>
        <w:t>l consistency canon supports an interpretation requiring</w:t>
      </w:r>
      <w:r w:rsidR="006455BF">
        <w:rPr>
          <w:szCs w:val="24"/>
        </w:rPr>
        <w:t xml:space="preserve"> the written agreement to be signed prior to the creation of the work. Their reasoning is that, by allowing a post-creation work made for hire agreement to be signed, it creates a duplicitous overlap with the transfer of copyright provision in 17 U.S.C. § 20</w:t>
      </w:r>
      <w:r w:rsidR="00426ADB">
        <w:rPr>
          <w:szCs w:val="24"/>
        </w:rPr>
        <w:t>4. However, this argument is flawed</w:t>
      </w:r>
      <w:r w:rsidR="006455BF">
        <w:rPr>
          <w:szCs w:val="24"/>
        </w:rPr>
        <w:t xml:space="preserve"> because the legal consequences of the work made for hire doctrine and the transfer of copyright provision differ.</w:t>
      </w:r>
    </w:p>
    <w:p w14:paraId="3588F784" w14:textId="77777777" w:rsidR="00906739" w:rsidRPr="00752C8E" w:rsidRDefault="005A5854" w:rsidP="00F0294C">
      <w:pPr>
        <w:tabs>
          <w:tab w:val="left" w:pos="0"/>
        </w:tabs>
        <w:spacing w:line="480" w:lineRule="auto"/>
        <w:ind w:firstLine="720"/>
        <w:contextualSpacing/>
        <w:jc w:val="both"/>
        <w:rPr>
          <w:szCs w:val="24"/>
        </w:rPr>
      </w:pPr>
      <w:r>
        <w:rPr>
          <w:szCs w:val="24"/>
        </w:rPr>
        <w:t>The</w:t>
      </w:r>
      <w:r w:rsidR="0064573B">
        <w:rPr>
          <w:szCs w:val="24"/>
        </w:rPr>
        <w:t xml:space="preserve"> argument</w:t>
      </w:r>
      <w:r>
        <w:rPr>
          <w:szCs w:val="24"/>
        </w:rPr>
        <w:t xml:space="preserve"> that OGS’s interpretation doesn’t fit with the statute as a whole</w:t>
      </w:r>
      <w:r w:rsidR="0064573B">
        <w:rPr>
          <w:szCs w:val="24"/>
        </w:rPr>
        <w:t xml:space="preserve"> invokes the internal consistency canon as well as the canon against surplusage and</w:t>
      </w:r>
      <w:r w:rsidR="006455BF">
        <w:rPr>
          <w:szCs w:val="24"/>
        </w:rPr>
        <w:t xml:space="preserve"> </w:t>
      </w:r>
      <w:r w:rsidR="0064573B">
        <w:rPr>
          <w:szCs w:val="24"/>
        </w:rPr>
        <w:t xml:space="preserve">redundancy. </w:t>
      </w:r>
      <w:r w:rsidR="00115391">
        <w:rPr>
          <w:szCs w:val="24"/>
        </w:rPr>
        <w:t xml:space="preserve">The internal consistency canon says that if there are competing interpretations and one causes a contradiction in the statute, a construction that does not cause that contradiction should be preferred. </w:t>
      </w:r>
      <w:r w:rsidR="00405429">
        <w:rPr>
          <w:i/>
          <w:szCs w:val="24"/>
        </w:rPr>
        <w:t xml:space="preserve">See Ricci v. </w:t>
      </w:r>
      <w:proofErr w:type="spellStart"/>
      <w:r w:rsidR="00405429">
        <w:rPr>
          <w:i/>
          <w:szCs w:val="24"/>
        </w:rPr>
        <w:t>DeStefano</w:t>
      </w:r>
      <w:proofErr w:type="spellEnd"/>
      <w:r w:rsidR="00405429">
        <w:rPr>
          <w:szCs w:val="24"/>
        </w:rPr>
        <w:t>, 557 U.S. 557 (2009).</w:t>
      </w:r>
      <w:r w:rsidR="00405429">
        <w:rPr>
          <w:i/>
          <w:szCs w:val="24"/>
        </w:rPr>
        <w:t xml:space="preserve"> </w:t>
      </w:r>
      <w:r w:rsidR="00115391">
        <w:rPr>
          <w:szCs w:val="24"/>
        </w:rPr>
        <w:t xml:space="preserve">The canon against surplusage and redundancy says that a statute should be construed in such a way as to make every word in the statute meaningful and necessary. </w:t>
      </w:r>
      <w:r w:rsidR="00405429">
        <w:rPr>
          <w:i/>
          <w:szCs w:val="24"/>
        </w:rPr>
        <w:t>See TRW Inc. v. Andrews</w:t>
      </w:r>
      <w:r w:rsidR="00405429">
        <w:rPr>
          <w:szCs w:val="24"/>
        </w:rPr>
        <w:t>, 534 U.S. 19, 31 (2001).</w:t>
      </w:r>
      <w:r w:rsidR="00405429">
        <w:rPr>
          <w:i/>
          <w:szCs w:val="24"/>
        </w:rPr>
        <w:t xml:space="preserve"> </w:t>
      </w:r>
      <w:r w:rsidR="00115391">
        <w:rPr>
          <w:szCs w:val="24"/>
        </w:rPr>
        <w:t xml:space="preserve">Words in the statute which are </w:t>
      </w:r>
      <w:r w:rsidR="00115391">
        <w:rPr>
          <w:szCs w:val="24"/>
        </w:rPr>
        <w:lastRenderedPageBreak/>
        <w:t>surplus</w:t>
      </w:r>
      <w:r w:rsidR="00752C8E">
        <w:rPr>
          <w:szCs w:val="24"/>
        </w:rPr>
        <w:t xml:space="preserve"> or redundant are inherently meaningless and</w:t>
      </w:r>
      <w:r w:rsidR="00115391">
        <w:rPr>
          <w:szCs w:val="24"/>
        </w:rPr>
        <w:t xml:space="preserve"> </w:t>
      </w:r>
      <w:r w:rsidR="00752C8E">
        <w:rPr>
          <w:szCs w:val="24"/>
        </w:rPr>
        <w:t>un</w:t>
      </w:r>
      <w:r w:rsidR="00115391">
        <w:rPr>
          <w:szCs w:val="24"/>
        </w:rPr>
        <w:t>necessary, so constructions which cause these surpluses should be avoided.</w:t>
      </w:r>
      <w:r w:rsidR="00752C8E">
        <w:rPr>
          <w:szCs w:val="24"/>
        </w:rPr>
        <w:t xml:space="preserve"> </w:t>
      </w:r>
      <w:r w:rsidR="00752C8E">
        <w:rPr>
          <w:i/>
          <w:szCs w:val="24"/>
        </w:rPr>
        <w:t>See id.</w:t>
      </w:r>
    </w:p>
    <w:p w14:paraId="628C4245" w14:textId="77777777" w:rsidR="00115391" w:rsidRDefault="00115391" w:rsidP="00F0294C">
      <w:pPr>
        <w:tabs>
          <w:tab w:val="left" w:pos="0"/>
        </w:tabs>
        <w:spacing w:line="480" w:lineRule="auto"/>
        <w:ind w:firstLine="720"/>
        <w:contextualSpacing/>
        <w:jc w:val="both"/>
        <w:rPr>
          <w:szCs w:val="24"/>
        </w:rPr>
      </w:pPr>
      <w:r>
        <w:rPr>
          <w:szCs w:val="24"/>
        </w:rPr>
        <w:t xml:space="preserve">In this case, Defendants refer to the allegedly duplicitous nature of construing the statute to allow for both a post-creation work made for hire agreement and also transfer of copyright, </w:t>
      </w:r>
      <w:r w:rsidR="001F7778">
        <w:rPr>
          <w:szCs w:val="24"/>
        </w:rPr>
        <w:t xml:space="preserve">the latter of </w:t>
      </w:r>
      <w:r>
        <w:rPr>
          <w:szCs w:val="24"/>
        </w:rPr>
        <w:t xml:space="preserve">which also involves the signing of a written agreement after the work is created. This would </w:t>
      </w:r>
      <w:r w:rsidR="009C62D5">
        <w:rPr>
          <w:szCs w:val="24"/>
        </w:rPr>
        <w:t xml:space="preserve">allegedly </w:t>
      </w:r>
      <w:r>
        <w:rPr>
          <w:szCs w:val="24"/>
        </w:rPr>
        <w:t>create a functional redundancy</w:t>
      </w:r>
      <w:r w:rsidR="009C62D5">
        <w:rPr>
          <w:szCs w:val="24"/>
        </w:rPr>
        <w:t xml:space="preserve"> because both are a means of changing who owns the copyright on a work</w:t>
      </w:r>
      <w:r w:rsidR="00E648A5">
        <w:rPr>
          <w:szCs w:val="24"/>
        </w:rPr>
        <w:t xml:space="preserve">. </w:t>
      </w:r>
      <w:r w:rsidR="00794B76" w:rsidRPr="00794B76">
        <w:rPr>
          <w:szCs w:val="24"/>
        </w:rPr>
        <w:t xml:space="preserve">However, the effects of a work made for hire agreement and a transfer of copyright ownership are not equivalent. A work made for hire agreement does more than transfer copyright ownership – it, for all intents and purposes, makes the employer the author of the work, which is a more all-encompassing shift of rights. </w:t>
      </w:r>
      <w:r w:rsidR="009C62D5">
        <w:rPr>
          <w:szCs w:val="24"/>
        </w:rPr>
        <w:t>Because the employer is the author, the copyright is owned by the employer from the beginning, which could not be said to be a “transfer” of copyright from the author in the same sense as the transfer allowed by 17 U.S.C. § 204 (2010).</w:t>
      </w:r>
    </w:p>
    <w:p w14:paraId="39D72E34" w14:textId="77777777" w:rsidR="00B72A06" w:rsidRDefault="00B72A06" w:rsidP="00F0294C">
      <w:pPr>
        <w:tabs>
          <w:tab w:val="left" w:pos="0"/>
        </w:tabs>
        <w:spacing w:line="480" w:lineRule="auto"/>
        <w:ind w:firstLine="720"/>
        <w:contextualSpacing/>
        <w:jc w:val="both"/>
        <w:rPr>
          <w:szCs w:val="24"/>
        </w:rPr>
      </w:pPr>
      <w:r>
        <w:rPr>
          <w:szCs w:val="24"/>
        </w:rPr>
        <w:t xml:space="preserve">Because of the functional non-equivalency of the work made for hire doctrine and transfer of copyright, interpreting the statute in the way OGS suggests does not create internal inconsistency or any sort of surplus </w:t>
      </w:r>
      <w:r w:rsidR="00FA058F">
        <w:rPr>
          <w:szCs w:val="24"/>
        </w:rPr>
        <w:t xml:space="preserve">language </w:t>
      </w:r>
      <w:r>
        <w:rPr>
          <w:szCs w:val="24"/>
        </w:rPr>
        <w:t>in the statute.</w:t>
      </w:r>
    </w:p>
    <w:p w14:paraId="0F145244" w14:textId="77777777" w:rsidR="00E634AD" w:rsidRPr="00DD3C96" w:rsidRDefault="008F7F51" w:rsidP="00F0294C">
      <w:pPr>
        <w:tabs>
          <w:tab w:val="left" w:pos="0"/>
        </w:tabs>
        <w:spacing w:line="480" w:lineRule="auto"/>
        <w:ind w:firstLine="720"/>
        <w:contextualSpacing/>
        <w:jc w:val="both"/>
        <w:rPr>
          <w:szCs w:val="24"/>
        </w:rPr>
      </w:pPr>
      <w:r>
        <w:rPr>
          <w:szCs w:val="24"/>
        </w:rPr>
        <w:t>An examination of the language of the statute and application of canonical interpretation techniques shows that the statute should be interpreted to allow the work made for hire agreement to be valid regardless of when the writing is executed.</w:t>
      </w:r>
    </w:p>
    <w:p w14:paraId="19A4B839" w14:textId="77777777" w:rsidR="0008172F" w:rsidRDefault="0008172F" w:rsidP="0008172F">
      <w:pPr>
        <w:pStyle w:val="ListParagraph"/>
        <w:rPr>
          <w:b/>
          <w:szCs w:val="24"/>
        </w:rPr>
      </w:pPr>
    </w:p>
    <w:p w14:paraId="5F3C1B0D" w14:textId="77777777" w:rsidR="00FC4836" w:rsidRPr="003F3CBB" w:rsidRDefault="00EE5081" w:rsidP="003F3CBB">
      <w:pPr>
        <w:pStyle w:val="ListParagraph"/>
        <w:numPr>
          <w:ilvl w:val="0"/>
          <w:numId w:val="4"/>
        </w:numPr>
        <w:rPr>
          <w:b/>
          <w:szCs w:val="24"/>
        </w:rPr>
      </w:pPr>
      <w:r w:rsidRPr="003F3CBB">
        <w:rPr>
          <w:b/>
          <w:szCs w:val="24"/>
        </w:rPr>
        <w:t xml:space="preserve">The Congressional Intent Behind the </w:t>
      </w:r>
      <w:r w:rsidR="00412277" w:rsidRPr="003F3CBB">
        <w:rPr>
          <w:b/>
          <w:szCs w:val="24"/>
        </w:rPr>
        <w:t xml:space="preserve">Signed Writing Requirement </w:t>
      </w:r>
      <w:r w:rsidRPr="003F3CBB">
        <w:rPr>
          <w:b/>
          <w:szCs w:val="24"/>
        </w:rPr>
        <w:t>Do</w:t>
      </w:r>
      <w:r w:rsidR="00F1336D">
        <w:rPr>
          <w:b/>
          <w:szCs w:val="24"/>
        </w:rPr>
        <w:t>es</w:t>
      </w:r>
      <w:r w:rsidRPr="003F3CBB">
        <w:rPr>
          <w:b/>
          <w:szCs w:val="24"/>
        </w:rPr>
        <w:t xml:space="preserve"> Not Support Defendants’ Interpretation</w:t>
      </w:r>
      <w:r w:rsidR="00412277" w:rsidRPr="003F3CBB">
        <w:rPr>
          <w:b/>
          <w:szCs w:val="24"/>
        </w:rPr>
        <w:t xml:space="preserve"> of 17 U.S.C. § 101</w:t>
      </w:r>
      <w:r w:rsidR="00013CFC" w:rsidRPr="003F3CBB">
        <w:rPr>
          <w:b/>
          <w:szCs w:val="24"/>
        </w:rPr>
        <w:t>.</w:t>
      </w:r>
    </w:p>
    <w:p w14:paraId="1FE6B258" w14:textId="77777777" w:rsidR="0008172F" w:rsidRDefault="0008172F" w:rsidP="0008172F">
      <w:pPr>
        <w:pStyle w:val="ListParagraph"/>
        <w:rPr>
          <w:b/>
          <w:szCs w:val="24"/>
        </w:rPr>
      </w:pPr>
    </w:p>
    <w:p w14:paraId="70548DAB" w14:textId="77777777" w:rsidR="00FC388F" w:rsidRPr="005B5EE9" w:rsidRDefault="00F70FAF" w:rsidP="00F0294C">
      <w:pPr>
        <w:pStyle w:val="ListParagraph"/>
        <w:spacing w:line="480" w:lineRule="auto"/>
        <w:ind w:left="0" w:firstLine="720"/>
        <w:jc w:val="both"/>
        <w:rPr>
          <w:szCs w:val="24"/>
        </w:rPr>
      </w:pPr>
      <w:r>
        <w:rPr>
          <w:szCs w:val="24"/>
        </w:rPr>
        <w:t>The courts look</w:t>
      </w:r>
      <w:r w:rsidR="00DB7CC9">
        <w:rPr>
          <w:szCs w:val="24"/>
        </w:rPr>
        <w:t xml:space="preserve"> to other sources of interpretation if the plain text of a statute is not conclusive. </w:t>
      </w:r>
      <w:r w:rsidR="00DB7CC9">
        <w:rPr>
          <w:i/>
          <w:szCs w:val="24"/>
        </w:rPr>
        <w:t>See Holy Trinity Church v. United States</w:t>
      </w:r>
      <w:r w:rsidR="00DB7CC9">
        <w:rPr>
          <w:szCs w:val="24"/>
        </w:rPr>
        <w:t xml:space="preserve">, 143 U.S. 457 (1892). </w:t>
      </w:r>
      <w:r w:rsidR="00C30B60">
        <w:rPr>
          <w:szCs w:val="24"/>
        </w:rPr>
        <w:t xml:space="preserve">Two commonly </w:t>
      </w:r>
      <w:r w:rsidR="00C30B60">
        <w:rPr>
          <w:szCs w:val="24"/>
        </w:rPr>
        <w:lastRenderedPageBreak/>
        <w:t xml:space="preserve">referenced extra-textual sources </w:t>
      </w:r>
      <w:r w:rsidR="0063710A">
        <w:rPr>
          <w:szCs w:val="24"/>
        </w:rPr>
        <w:t>for determining the intent of the legislature</w:t>
      </w:r>
      <w:r w:rsidR="00C30B60">
        <w:rPr>
          <w:szCs w:val="24"/>
        </w:rPr>
        <w:t xml:space="preserve"> are the legislative history and examination of the statute in light of its underlying </w:t>
      </w:r>
      <w:r w:rsidR="00B45B7D">
        <w:rPr>
          <w:szCs w:val="24"/>
        </w:rPr>
        <w:t xml:space="preserve">purpose and policy considerations. </w:t>
      </w:r>
      <w:r w:rsidR="00F1336D">
        <w:rPr>
          <w:szCs w:val="24"/>
        </w:rPr>
        <w:t>In the case of the work made for hire doctrine</w:t>
      </w:r>
      <w:r w:rsidR="005B5EE9">
        <w:rPr>
          <w:szCs w:val="24"/>
        </w:rPr>
        <w:t>, the legislative history and purpose considerations do not suggest a requirement that the written agreement be executed prior to the creation of the work.</w:t>
      </w:r>
    </w:p>
    <w:p w14:paraId="76CBBFB2" w14:textId="77777777" w:rsidR="001D5769" w:rsidRDefault="001D5769" w:rsidP="00434810">
      <w:pPr>
        <w:pStyle w:val="ListParagraph"/>
        <w:numPr>
          <w:ilvl w:val="0"/>
          <w:numId w:val="6"/>
        </w:numPr>
        <w:ind w:left="1080" w:hanging="720"/>
        <w:rPr>
          <w:b/>
          <w:szCs w:val="24"/>
        </w:rPr>
      </w:pPr>
      <w:r w:rsidRPr="00344E00">
        <w:rPr>
          <w:b/>
          <w:szCs w:val="24"/>
        </w:rPr>
        <w:t xml:space="preserve">The Legislative History Does Not </w:t>
      </w:r>
      <w:r w:rsidR="00434810">
        <w:rPr>
          <w:b/>
          <w:szCs w:val="24"/>
        </w:rPr>
        <w:t>Call For a Sequential Restriction on the Signed Writing</w:t>
      </w:r>
      <w:r w:rsidR="007D344D">
        <w:rPr>
          <w:b/>
          <w:szCs w:val="24"/>
        </w:rPr>
        <w:t>.</w:t>
      </w:r>
    </w:p>
    <w:p w14:paraId="01860322" w14:textId="77777777" w:rsidR="00434810" w:rsidRPr="00434810" w:rsidRDefault="00434810" w:rsidP="00434810">
      <w:pPr>
        <w:ind w:left="360"/>
        <w:rPr>
          <w:b/>
          <w:szCs w:val="24"/>
        </w:rPr>
      </w:pPr>
    </w:p>
    <w:p w14:paraId="0D32DF62" w14:textId="77777777" w:rsidR="00344E00" w:rsidRDefault="007E38FE" w:rsidP="00F0294C">
      <w:pPr>
        <w:spacing w:line="480" w:lineRule="auto"/>
        <w:ind w:firstLine="720"/>
        <w:contextualSpacing/>
        <w:jc w:val="both"/>
        <w:rPr>
          <w:szCs w:val="24"/>
        </w:rPr>
      </w:pPr>
      <w:r>
        <w:rPr>
          <w:szCs w:val="24"/>
        </w:rPr>
        <w:t>In order to shed light on the problems the legislature was addressing, what the drafters were considering at the time, and what was proposed and debated, t</w:t>
      </w:r>
      <w:r w:rsidR="007817B1">
        <w:rPr>
          <w:szCs w:val="24"/>
        </w:rPr>
        <w:t>he legislative history of a statute, which includes such sources as Congressional Records, committee hearings, and drafters’ comments, among others, is used to</w:t>
      </w:r>
      <w:r>
        <w:rPr>
          <w:szCs w:val="24"/>
        </w:rPr>
        <w:t xml:space="preserve"> interpre</w:t>
      </w:r>
      <w:r w:rsidR="0059206E">
        <w:rPr>
          <w:szCs w:val="24"/>
        </w:rPr>
        <w:t>t statutory language.</w:t>
      </w:r>
      <w:r w:rsidR="007817B1">
        <w:rPr>
          <w:szCs w:val="24"/>
        </w:rPr>
        <w:t xml:space="preserve"> </w:t>
      </w:r>
      <w:r w:rsidR="007817B1">
        <w:rPr>
          <w:i/>
          <w:szCs w:val="24"/>
        </w:rPr>
        <w:t xml:space="preserve">See, e.g., Florida Power &amp; Light Co. v. </w:t>
      </w:r>
      <w:proofErr w:type="spellStart"/>
      <w:r w:rsidR="007817B1">
        <w:rPr>
          <w:i/>
          <w:szCs w:val="24"/>
        </w:rPr>
        <w:t>Lorion</w:t>
      </w:r>
      <w:proofErr w:type="spellEnd"/>
      <w:r w:rsidR="007817B1">
        <w:rPr>
          <w:szCs w:val="24"/>
        </w:rPr>
        <w:t xml:space="preserve">, 470 U.S. 729, 737 (1985); </w:t>
      </w:r>
      <w:r w:rsidR="007817B1">
        <w:rPr>
          <w:i/>
          <w:szCs w:val="24"/>
        </w:rPr>
        <w:t>Bank One Chicago, N.A. v. Midwest Bank &amp; Trust Co.</w:t>
      </w:r>
      <w:r w:rsidR="007817B1">
        <w:rPr>
          <w:szCs w:val="24"/>
        </w:rPr>
        <w:t>, 516 U.S. 264, 273 (</w:t>
      </w:r>
      <w:r>
        <w:rPr>
          <w:szCs w:val="24"/>
        </w:rPr>
        <w:t>1996).</w:t>
      </w:r>
    </w:p>
    <w:p w14:paraId="73B076A3" w14:textId="77777777" w:rsidR="00BE4A3E" w:rsidRPr="00BE4A3E" w:rsidRDefault="0063317E" w:rsidP="00F0294C">
      <w:pPr>
        <w:spacing w:line="480" w:lineRule="auto"/>
        <w:contextualSpacing/>
        <w:jc w:val="both"/>
        <w:rPr>
          <w:szCs w:val="24"/>
        </w:rPr>
      </w:pPr>
      <w:r>
        <w:rPr>
          <w:szCs w:val="24"/>
        </w:rPr>
        <w:tab/>
      </w:r>
      <w:r w:rsidR="00D84D34">
        <w:rPr>
          <w:szCs w:val="24"/>
        </w:rPr>
        <w:t>House and Senate Reports provide commentary on the legislation by Congressional committees, and thus are useful in obtaining information on what the legislature was thinking and what changes legislation may have gone through prior to enactment. In the most relevant House Report for the instant case, t</w:t>
      </w:r>
      <w:r w:rsidR="00E67B68">
        <w:rPr>
          <w:szCs w:val="24"/>
        </w:rPr>
        <w:t>here</w:t>
      </w:r>
      <w:r w:rsidR="00D84D34">
        <w:rPr>
          <w:szCs w:val="24"/>
        </w:rPr>
        <w:t xml:space="preserve"> is no</w:t>
      </w:r>
      <w:r w:rsidR="00BE4A3E" w:rsidRPr="00BE4A3E">
        <w:rPr>
          <w:szCs w:val="24"/>
        </w:rPr>
        <w:t xml:space="preserve"> mention of when the writing needs to</w:t>
      </w:r>
      <w:r w:rsidR="00D84D34">
        <w:rPr>
          <w:szCs w:val="24"/>
        </w:rPr>
        <w:t xml:space="preserve"> be executed.</w:t>
      </w:r>
      <w:r w:rsidR="00BE4A3E" w:rsidRPr="00BE4A3E">
        <w:rPr>
          <w:szCs w:val="24"/>
        </w:rPr>
        <w:t xml:space="preserve"> </w:t>
      </w:r>
      <w:r w:rsidR="00BE4A3E" w:rsidRPr="00BE4A3E">
        <w:rPr>
          <w:i/>
          <w:iCs/>
          <w:szCs w:val="24"/>
        </w:rPr>
        <w:t>See H.R. REP. 94-1476</w:t>
      </w:r>
      <w:r w:rsidR="00BA56BB">
        <w:rPr>
          <w:szCs w:val="24"/>
        </w:rPr>
        <w:t>. After members of the House Judiciary Committee</w:t>
      </w:r>
      <w:r w:rsidR="00BE4A3E" w:rsidRPr="00BE4A3E">
        <w:rPr>
          <w:szCs w:val="24"/>
        </w:rPr>
        <w:t xml:space="preserve"> mention that § 101 of the statute has had problems and has undergone “extensive revision,” they proceed to discuss a proposed amendment to the employer and employee section of the law, and issues determining which works should be able to fall under the second section of the definition, covering special orders and commissions. </w:t>
      </w:r>
      <w:r w:rsidR="00BE4A3E" w:rsidRPr="00BE4A3E">
        <w:rPr>
          <w:i/>
          <w:iCs/>
          <w:szCs w:val="24"/>
        </w:rPr>
        <w:t>Id.</w:t>
      </w:r>
      <w:r w:rsidR="00E67B68">
        <w:rPr>
          <w:i/>
          <w:iCs/>
          <w:szCs w:val="24"/>
        </w:rPr>
        <w:t xml:space="preserve"> </w:t>
      </w:r>
      <w:r w:rsidR="00E67B68">
        <w:rPr>
          <w:iCs/>
          <w:szCs w:val="24"/>
        </w:rPr>
        <w:t>at 121.</w:t>
      </w:r>
      <w:r w:rsidR="00A55EEF">
        <w:rPr>
          <w:szCs w:val="24"/>
        </w:rPr>
        <w:t xml:space="preserve"> Important to note is</w:t>
      </w:r>
      <w:r w:rsidR="00E67B68">
        <w:rPr>
          <w:szCs w:val="24"/>
        </w:rPr>
        <w:t xml:space="preserve"> that language indicating a</w:t>
      </w:r>
      <w:r w:rsidR="00BE4A3E" w:rsidRPr="00BE4A3E">
        <w:rPr>
          <w:szCs w:val="24"/>
        </w:rPr>
        <w:t xml:space="preserve"> restriction on the signed writing has not been included despite such revisions.</w:t>
      </w:r>
      <w:r w:rsidR="00F0294C">
        <w:rPr>
          <w:szCs w:val="24"/>
        </w:rPr>
        <w:t xml:space="preserve"> If a restriction on when the writing must be signed was of principal concern to Congress, </w:t>
      </w:r>
      <w:r w:rsidR="009C5D00">
        <w:rPr>
          <w:szCs w:val="24"/>
        </w:rPr>
        <w:t xml:space="preserve">the topic should have come up </w:t>
      </w:r>
      <w:r w:rsidR="009C5D00">
        <w:rPr>
          <w:szCs w:val="24"/>
        </w:rPr>
        <w:lastRenderedPageBreak/>
        <w:t>when discussing</w:t>
      </w:r>
      <w:r w:rsidR="00255AD6">
        <w:rPr>
          <w:szCs w:val="24"/>
        </w:rPr>
        <w:t xml:space="preserve"> pre-enactment</w:t>
      </w:r>
      <w:r w:rsidR="009C5D00">
        <w:rPr>
          <w:szCs w:val="24"/>
        </w:rPr>
        <w:t xml:space="preserve"> revisions to § 101.</w:t>
      </w:r>
    </w:p>
    <w:p w14:paraId="53C42DDB" w14:textId="77777777" w:rsidR="0053514F" w:rsidRDefault="00E67B68" w:rsidP="008C7AAE">
      <w:pPr>
        <w:spacing w:line="480" w:lineRule="auto"/>
        <w:contextualSpacing/>
        <w:jc w:val="both"/>
        <w:rPr>
          <w:szCs w:val="24"/>
        </w:rPr>
      </w:pPr>
      <w:r>
        <w:rPr>
          <w:szCs w:val="24"/>
        </w:rPr>
        <w:tab/>
      </w:r>
      <w:r w:rsidR="0053514F">
        <w:rPr>
          <w:szCs w:val="24"/>
        </w:rPr>
        <w:t>The requirement that the written agreement be signed before the work is created is not a novel idea to Congress. In 1982, Senator Cochran introduced Senate Bill 1253 which proposed changing the language of the second prong of the work made fo</w:t>
      </w:r>
      <w:r w:rsidR="006674F8">
        <w:rPr>
          <w:szCs w:val="24"/>
        </w:rPr>
        <w:t>r hire definition in § 101 to include the condition that the written instrument be signed “before commencement of the work”</w:t>
      </w:r>
    </w:p>
    <w:p w14:paraId="28201CAD" w14:textId="77777777" w:rsidR="008B0F12" w:rsidRDefault="00353D48" w:rsidP="00F0294C">
      <w:pPr>
        <w:spacing w:line="480" w:lineRule="auto"/>
        <w:contextualSpacing/>
        <w:jc w:val="both"/>
        <w:rPr>
          <w:szCs w:val="24"/>
        </w:rPr>
      </w:pPr>
      <w:r w:rsidRPr="00353D48">
        <w:rPr>
          <w:szCs w:val="24"/>
        </w:rPr>
        <w:t>135 Cong. Rec. S7341 (1989).</w:t>
      </w:r>
      <w:r>
        <w:rPr>
          <w:szCs w:val="24"/>
        </w:rPr>
        <w:t xml:space="preserve"> </w:t>
      </w:r>
      <w:r w:rsidR="003C1879">
        <w:rPr>
          <w:szCs w:val="24"/>
        </w:rPr>
        <w:t xml:space="preserve">Sen. Cochran proposed </w:t>
      </w:r>
      <w:r w:rsidR="006674F8">
        <w:rPr>
          <w:szCs w:val="24"/>
        </w:rPr>
        <w:t xml:space="preserve">this alteration </w:t>
      </w:r>
      <w:r w:rsidR="003C1879">
        <w:rPr>
          <w:szCs w:val="24"/>
        </w:rPr>
        <w:t>again in 1989</w:t>
      </w:r>
      <w:r w:rsidR="00A736D2">
        <w:rPr>
          <w:szCs w:val="24"/>
        </w:rPr>
        <w:t xml:space="preserve">. </w:t>
      </w:r>
      <w:r w:rsidR="00A736D2">
        <w:rPr>
          <w:i/>
          <w:szCs w:val="24"/>
        </w:rPr>
        <w:t>See id.</w:t>
      </w:r>
      <w:r w:rsidR="00783698">
        <w:rPr>
          <w:szCs w:val="24"/>
        </w:rPr>
        <w:t xml:space="preserve"> T</w:t>
      </w:r>
      <w:r w:rsidR="00F0294C">
        <w:rPr>
          <w:szCs w:val="24"/>
        </w:rPr>
        <w:t>his bill changing the definition of a work made for hire in §</w:t>
      </w:r>
      <w:r w:rsidR="00783698">
        <w:rPr>
          <w:szCs w:val="24"/>
        </w:rPr>
        <w:t xml:space="preserve"> 101 has not</w:t>
      </w:r>
      <w:r w:rsidR="00F0294C">
        <w:rPr>
          <w:szCs w:val="24"/>
        </w:rPr>
        <w:t xml:space="preserve"> been enacted despite repeated proposals.</w:t>
      </w:r>
      <w:r w:rsidR="003F0949">
        <w:rPr>
          <w:szCs w:val="24"/>
        </w:rPr>
        <w:t xml:space="preserve"> </w:t>
      </w:r>
      <w:r w:rsidR="00783698">
        <w:rPr>
          <w:i/>
          <w:szCs w:val="24"/>
        </w:rPr>
        <w:t xml:space="preserve">See id. </w:t>
      </w:r>
      <w:r w:rsidR="003F0949">
        <w:rPr>
          <w:szCs w:val="24"/>
        </w:rPr>
        <w:t xml:space="preserve">The fact that Congress has had multiple opportunities to amend the definition at issue and has chosen not to do so weighs </w:t>
      </w:r>
      <w:r w:rsidR="008B0F12">
        <w:rPr>
          <w:szCs w:val="24"/>
        </w:rPr>
        <w:t xml:space="preserve">heavily </w:t>
      </w:r>
      <w:r w:rsidR="003F0949">
        <w:rPr>
          <w:szCs w:val="24"/>
        </w:rPr>
        <w:t xml:space="preserve">against </w:t>
      </w:r>
      <w:r w:rsidR="008B0F12">
        <w:rPr>
          <w:szCs w:val="24"/>
        </w:rPr>
        <w:t>Defendants’ interpretation.</w:t>
      </w:r>
    </w:p>
    <w:p w14:paraId="72F8E4D2" w14:textId="77777777" w:rsidR="00563BA5" w:rsidRPr="00786225" w:rsidRDefault="008B0F12" w:rsidP="00563BA5">
      <w:pPr>
        <w:spacing w:line="480" w:lineRule="auto"/>
        <w:ind w:firstLine="720"/>
        <w:contextualSpacing/>
        <w:jc w:val="both"/>
        <w:rPr>
          <w:szCs w:val="24"/>
        </w:rPr>
      </w:pPr>
      <w:r w:rsidRPr="00786225">
        <w:rPr>
          <w:szCs w:val="24"/>
        </w:rPr>
        <w:t xml:space="preserve"> </w:t>
      </w:r>
      <w:r w:rsidR="006E252C" w:rsidRPr="00786225">
        <w:rPr>
          <w:szCs w:val="24"/>
        </w:rPr>
        <w:t xml:space="preserve">In the meeting held to discuss the 1964 Revision, </w:t>
      </w:r>
      <w:r w:rsidR="00563BA5" w:rsidRPr="00786225">
        <w:rPr>
          <w:szCs w:val="24"/>
        </w:rPr>
        <w:t xml:space="preserve">no conditions specifically on the written agreement requirement of the work made for hire provision were mentioned. </w:t>
      </w:r>
      <w:r w:rsidR="00563BA5" w:rsidRPr="00786225">
        <w:rPr>
          <w:i/>
          <w:szCs w:val="24"/>
        </w:rPr>
        <w:t xml:space="preserve">See </w:t>
      </w:r>
      <w:r w:rsidR="00563BA5" w:rsidRPr="00786225">
        <w:rPr>
          <w:szCs w:val="24"/>
        </w:rPr>
        <w:t>1964 Revision Bill with Discussions and Comments, 89th Cong., 1st Sess., Copyright Law Revision,</w:t>
      </w:r>
      <w:r w:rsidR="00563BA5" w:rsidRPr="00786225">
        <w:rPr>
          <w:i/>
          <w:szCs w:val="24"/>
        </w:rPr>
        <w:t xml:space="preserve"> </w:t>
      </w:r>
      <w:r w:rsidR="00563BA5" w:rsidRPr="00786225">
        <w:rPr>
          <w:szCs w:val="24"/>
        </w:rPr>
        <w:t>p. 145</w:t>
      </w:r>
      <w:r w:rsidR="00563BA5" w:rsidRPr="00786225">
        <w:rPr>
          <w:i/>
          <w:szCs w:val="24"/>
        </w:rPr>
        <w:t xml:space="preserve"> </w:t>
      </w:r>
      <w:r w:rsidR="00563BA5" w:rsidRPr="00786225">
        <w:rPr>
          <w:szCs w:val="24"/>
        </w:rPr>
        <w:t>(H.R. Judiciary Comm. Print 1965). S</w:t>
      </w:r>
      <w:r w:rsidR="006E252C" w:rsidRPr="00786225">
        <w:rPr>
          <w:szCs w:val="24"/>
        </w:rPr>
        <w:t xml:space="preserve">everal in attendance expressed concerns over the inclusion of special orders and commissions being included in the reach of </w:t>
      </w:r>
      <w:r w:rsidR="00410F1A" w:rsidRPr="00786225">
        <w:rPr>
          <w:szCs w:val="24"/>
        </w:rPr>
        <w:t xml:space="preserve">the work made for hire doctrine. </w:t>
      </w:r>
      <w:r w:rsidR="00563BA5" w:rsidRPr="00786225">
        <w:rPr>
          <w:i/>
          <w:szCs w:val="24"/>
        </w:rPr>
        <w:t xml:space="preserve">See id. </w:t>
      </w:r>
      <w:r w:rsidR="00410F1A" w:rsidRPr="00786225">
        <w:rPr>
          <w:szCs w:val="24"/>
        </w:rPr>
        <w:t xml:space="preserve">This was </w:t>
      </w:r>
      <w:r w:rsidR="006E252C" w:rsidRPr="00786225">
        <w:rPr>
          <w:szCs w:val="24"/>
        </w:rPr>
        <w:t>mainly because the</w:t>
      </w:r>
      <w:r w:rsidR="003E4438" w:rsidRPr="00786225">
        <w:rPr>
          <w:szCs w:val="24"/>
        </w:rPr>
        <w:t>y were afraid that authors do not</w:t>
      </w:r>
      <w:r w:rsidR="006E252C" w:rsidRPr="00786225">
        <w:rPr>
          <w:szCs w:val="24"/>
        </w:rPr>
        <w:t xml:space="preserve"> read these contracts carefully and are likely to sign away their copyrights and other interests in their works without realizing what they are doing. </w:t>
      </w:r>
      <w:r w:rsidR="00697E99" w:rsidRPr="00786225">
        <w:rPr>
          <w:i/>
          <w:szCs w:val="24"/>
        </w:rPr>
        <w:t>Id.</w:t>
      </w:r>
      <w:r w:rsidR="00697E99" w:rsidRPr="00786225">
        <w:rPr>
          <w:szCs w:val="24"/>
        </w:rPr>
        <w:t xml:space="preserve"> at 147. </w:t>
      </w:r>
      <w:r w:rsidR="002F4486" w:rsidRPr="00786225">
        <w:rPr>
          <w:szCs w:val="24"/>
        </w:rPr>
        <w:t>The concerns addressed in the meeting related to the scope of the special orders and commissions prong of the work made for hire definition. While this is an important concern</w:t>
      </w:r>
      <w:r w:rsidR="006E252C" w:rsidRPr="00786225">
        <w:rPr>
          <w:szCs w:val="24"/>
        </w:rPr>
        <w:t xml:space="preserve"> about the work m</w:t>
      </w:r>
      <w:r w:rsidR="002F4486" w:rsidRPr="00786225">
        <w:rPr>
          <w:szCs w:val="24"/>
        </w:rPr>
        <w:t>ade for hire doctrine, it is not one which would be solved by requiring the writing to be signed before the work is created. If an author is prone to contracting away his rights unaware, he could just as easily accomplish this before he began the work as after he finished</w:t>
      </w:r>
      <w:r w:rsidR="00A152D4" w:rsidRPr="00786225">
        <w:rPr>
          <w:szCs w:val="24"/>
        </w:rPr>
        <w:t xml:space="preserve"> it</w:t>
      </w:r>
      <w:r w:rsidR="002F4486" w:rsidRPr="00786225">
        <w:rPr>
          <w:szCs w:val="24"/>
        </w:rPr>
        <w:t xml:space="preserve">. </w:t>
      </w:r>
      <w:r w:rsidR="00786225" w:rsidRPr="00786225">
        <w:rPr>
          <w:szCs w:val="24"/>
        </w:rPr>
        <w:t>In the instant case, it</w:t>
      </w:r>
      <w:r w:rsidR="00786225">
        <w:rPr>
          <w:szCs w:val="24"/>
        </w:rPr>
        <w:t xml:space="preserve"> would not have made a difference if the writing needed to be signed prior to the creation of the work. </w:t>
      </w:r>
      <w:r w:rsidR="00563BA5" w:rsidRPr="00786225">
        <w:rPr>
          <w:szCs w:val="24"/>
        </w:rPr>
        <w:t xml:space="preserve">Given Lime’s 15 years’ </w:t>
      </w:r>
      <w:r w:rsidR="00563BA5" w:rsidRPr="00786225">
        <w:rPr>
          <w:szCs w:val="24"/>
        </w:rPr>
        <w:lastRenderedPageBreak/>
        <w:t xml:space="preserve">experience as a television writer, it is highly unlikely that she somehow did not understand the situation or the rights of the parties. </w:t>
      </w:r>
      <w:r w:rsidR="002F4486" w:rsidRPr="00786225">
        <w:rPr>
          <w:szCs w:val="24"/>
        </w:rPr>
        <w:t>Moreover,</w:t>
      </w:r>
      <w:r w:rsidR="006E252C" w:rsidRPr="00786225">
        <w:rPr>
          <w:szCs w:val="24"/>
        </w:rPr>
        <w:t xml:space="preserve"> in our case Lime was informed, in clear language, that the agreement would make OGS the authors of the screenplay. </w:t>
      </w:r>
    </w:p>
    <w:p w14:paraId="516F5389" w14:textId="77777777" w:rsidR="0055179A" w:rsidRPr="00F0294C" w:rsidRDefault="000F4D73" w:rsidP="0055179A">
      <w:pPr>
        <w:spacing w:line="480" w:lineRule="auto"/>
        <w:ind w:firstLine="720"/>
        <w:contextualSpacing/>
        <w:jc w:val="both"/>
        <w:rPr>
          <w:szCs w:val="24"/>
        </w:rPr>
      </w:pPr>
      <w:r>
        <w:rPr>
          <w:szCs w:val="24"/>
        </w:rPr>
        <w:t>The main issue brought up by the Revision meeting transcript and the House Report is the scope of the special orders and commissions prong, not the writing requirement. The fact that the issue of a condition on the signed writing does not seem to be high on Congress’ priority list for Copyright Act issues, and furthermore that Congress failed to pass the proposed amending legislation reflecting a need for such a condition, shows that this reading of the work made for hire doctrine was not what Congress intended.</w:t>
      </w:r>
    </w:p>
    <w:p w14:paraId="36E4835D" w14:textId="77777777" w:rsidR="001D5769" w:rsidRDefault="001D5769" w:rsidP="00344E00">
      <w:pPr>
        <w:pStyle w:val="ListParagraph"/>
        <w:numPr>
          <w:ilvl w:val="0"/>
          <w:numId w:val="6"/>
        </w:numPr>
        <w:tabs>
          <w:tab w:val="left" w:pos="0"/>
        </w:tabs>
        <w:ind w:left="1080" w:hanging="720"/>
        <w:rPr>
          <w:b/>
          <w:szCs w:val="24"/>
        </w:rPr>
      </w:pPr>
      <w:r w:rsidRPr="00344E00">
        <w:rPr>
          <w:b/>
          <w:szCs w:val="24"/>
        </w:rPr>
        <w:t xml:space="preserve">The Purpose Underlying the Signed Writing Requirement is Not Furthered </w:t>
      </w:r>
      <w:r w:rsidR="00434810" w:rsidRPr="00344E00">
        <w:rPr>
          <w:b/>
          <w:szCs w:val="24"/>
        </w:rPr>
        <w:t>by</w:t>
      </w:r>
      <w:r w:rsidRPr="00344E00">
        <w:rPr>
          <w:b/>
          <w:szCs w:val="24"/>
        </w:rPr>
        <w:t xml:space="preserve"> Defendants’ Interpretation</w:t>
      </w:r>
      <w:r w:rsidR="00DC1352">
        <w:rPr>
          <w:b/>
          <w:szCs w:val="24"/>
        </w:rPr>
        <w:t>.</w:t>
      </w:r>
    </w:p>
    <w:p w14:paraId="77906365" w14:textId="77777777" w:rsidR="00344E00" w:rsidRPr="00344E00" w:rsidRDefault="00344E00" w:rsidP="00344E00">
      <w:pPr>
        <w:tabs>
          <w:tab w:val="left" w:pos="0"/>
        </w:tabs>
        <w:ind w:left="360"/>
        <w:rPr>
          <w:b/>
          <w:szCs w:val="24"/>
        </w:rPr>
      </w:pPr>
    </w:p>
    <w:p w14:paraId="79420702" w14:textId="77777777" w:rsidR="001D5769" w:rsidRPr="00FA7D60" w:rsidRDefault="00FA7D60" w:rsidP="00FC416A">
      <w:pPr>
        <w:tabs>
          <w:tab w:val="left" w:pos="0"/>
        </w:tabs>
        <w:spacing w:line="480" w:lineRule="auto"/>
        <w:ind w:firstLine="720"/>
        <w:contextualSpacing/>
        <w:jc w:val="both"/>
        <w:rPr>
          <w:szCs w:val="24"/>
        </w:rPr>
      </w:pPr>
      <w:r>
        <w:rPr>
          <w:szCs w:val="24"/>
        </w:rPr>
        <w:t>Examining a statute in the context of its purpose is another important tool for interpretation. The Supreme Court has noted that “</w:t>
      </w:r>
      <w:r w:rsidR="004353B7">
        <w:rPr>
          <w:szCs w:val="24"/>
        </w:rPr>
        <w:t>[e]</w:t>
      </w:r>
      <w:proofErr w:type="spellStart"/>
      <w:r w:rsidRPr="00FA7D60">
        <w:rPr>
          <w:szCs w:val="24"/>
        </w:rPr>
        <w:t>xamination</w:t>
      </w:r>
      <w:proofErr w:type="spellEnd"/>
      <w:r w:rsidRPr="00FA7D60">
        <w:rPr>
          <w:szCs w:val="24"/>
        </w:rPr>
        <w:t xml:space="preserve"> of purpose is a staple of statutory interpretation that makes up the daily fare of every appellate court in the country</w:t>
      </w:r>
      <w:r>
        <w:rPr>
          <w:szCs w:val="24"/>
        </w:rPr>
        <w:t xml:space="preserve"> . . . </w:t>
      </w:r>
      <w:r w:rsidRPr="00FA7D60">
        <w:rPr>
          <w:szCs w:val="24"/>
        </w:rPr>
        <w:t>and governmental purpose is a key element of a good deal of constitutional doctrin</w:t>
      </w:r>
      <w:r>
        <w:rPr>
          <w:szCs w:val="24"/>
        </w:rPr>
        <w:t xml:space="preserve">e.” </w:t>
      </w:r>
      <w:r>
        <w:rPr>
          <w:i/>
          <w:szCs w:val="24"/>
        </w:rPr>
        <w:t>McCreary County, Ky. v. American Civil Liberties Union of Ky.</w:t>
      </w:r>
      <w:r>
        <w:rPr>
          <w:szCs w:val="24"/>
        </w:rPr>
        <w:t xml:space="preserve">, 545 U.S. 844, 861 (2005) (citations omitted). </w:t>
      </w:r>
      <w:r w:rsidR="00FC416A">
        <w:rPr>
          <w:szCs w:val="24"/>
        </w:rPr>
        <w:t>Requiring the written agreement to be signed prior to the creation of th</w:t>
      </w:r>
      <w:r w:rsidR="004353B7">
        <w:rPr>
          <w:szCs w:val="24"/>
        </w:rPr>
        <w:t>e work would undermine</w:t>
      </w:r>
      <w:r w:rsidR="00FC416A">
        <w:rPr>
          <w:szCs w:val="24"/>
        </w:rPr>
        <w:t xml:space="preserve"> the policy goals served by the work made for hire doctrine.</w:t>
      </w:r>
    </w:p>
    <w:p w14:paraId="7513D886" w14:textId="77777777" w:rsidR="00FC388F" w:rsidRDefault="002D57A9" w:rsidP="0083287A">
      <w:pPr>
        <w:tabs>
          <w:tab w:val="left" w:pos="0"/>
        </w:tabs>
        <w:spacing w:line="480" w:lineRule="auto"/>
        <w:ind w:firstLine="720"/>
        <w:contextualSpacing/>
        <w:jc w:val="both"/>
        <w:rPr>
          <w:szCs w:val="24"/>
        </w:rPr>
      </w:pPr>
      <w:r>
        <w:rPr>
          <w:szCs w:val="24"/>
        </w:rPr>
        <w:t>In the general sense, the writing requirement</w:t>
      </w:r>
      <w:r w:rsidR="004353B7">
        <w:rPr>
          <w:szCs w:val="24"/>
        </w:rPr>
        <w:t xml:space="preserve"> contained in § 101’s</w:t>
      </w:r>
      <w:r>
        <w:rPr>
          <w:szCs w:val="24"/>
        </w:rPr>
        <w:t xml:space="preserve"> definition of work made for hire protect</w:t>
      </w:r>
      <w:r w:rsidR="004353B7">
        <w:rPr>
          <w:szCs w:val="24"/>
        </w:rPr>
        <w:t>s</w:t>
      </w:r>
      <w:r>
        <w:rPr>
          <w:szCs w:val="24"/>
        </w:rPr>
        <w:t xml:space="preserve"> the author of a work</w:t>
      </w:r>
      <w:r w:rsidR="004353B7">
        <w:rPr>
          <w:szCs w:val="24"/>
        </w:rPr>
        <w:t xml:space="preserve"> and</w:t>
      </w:r>
      <w:r w:rsidR="006F3E6B">
        <w:rPr>
          <w:szCs w:val="24"/>
        </w:rPr>
        <w:t xml:space="preserve"> help</w:t>
      </w:r>
      <w:r w:rsidR="004353B7">
        <w:rPr>
          <w:szCs w:val="24"/>
        </w:rPr>
        <w:t>s</w:t>
      </w:r>
      <w:r w:rsidR="006F3E6B">
        <w:rPr>
          <w:szCs w:val="24"/>
        </w:rPr>
        <w:t xml:space="preserve"> achieve the predictability and certainty of copyright ownership</w:t>
      </w:r>
      <w:r>
        <w:rPr>
          <w:szCs w:val="24"/>
        </w:rPr>
        <w:t>.</w:t>
      </w:r>
      <w:r w:rsidR="001920D5">
        <w:rPr>
          <w:szCs w:val="24"/>
        </w:rPr>
        <w:t xml:space="preserve"> </w:t>
      </w:r>
      <w:r w:rsidR="001920D5">
        <w:rPr>
          <w:i/>
          <w:szCs w:val="24"/>
        </w:rPr>
        <w:t>See Community for Creative Non-Violence v. Reid</w:t>
      </w:r>
      <w:r w:rsidR="001920D5">
        <w:rPr>
          <w:szCs w:val="24"/>
        </w:rPr>
        <w:t>, 490 U.S. 730 (1989) (Congress’ goal in revising the Copyright Act was “enhancing predictability and certainty of copyright ownership”).</w:t>
      </w:r>
      <w:r>
        <w:rPr>
          <w:szCs w:val="24"/>
        </w:rPr>
        <w:t xml:space="preserve"> However, the work m</w:t>
      </w:r>
      <w:r w:rsidR="004353B7">
        <w:rPr>
          <w:szCs w:val="24"/>
        </w:rPr>
        <w:t>ade for hire doctrine</w:t>
      </w:r>
      <w:r>
        <w:rPr>
          <w:szCs w:val="24"/>
        </w:rPr>
        <w:t xml:space="preserve"> exists to expedite dealings between authors and publishers of collective works, whether the authors </w:t>
      </w:r>
      <w:r w:rsidR="00E71E9E">
        <w:rPr>
          <w:szCs w:val="24"/>
        </w:rPr>
        <w:t>are</w:t>
      </w:r>
      <w:r w:rsidR="00C968FA">
        <w:rPr>
          <w:szCs w:val="24"/>
        </w:rPr>
        <w:t xml:space="preserve"> employees or </w:t>
      </w:r>
      <w:r w:rsidR="00C968FA">
        <w:rPr>
          <w:szCs w:val="24"/>
        </w:rPr>
        <w:lastRenderedPageBreak/>
        <w:t>independent contractors</w:t>
      </w:r>
      <w:r>
        <w:rPr>
          <w:szCs w:val="24"/>
        </w:rPr>
        <w:t>.</w:t>
      </w:r>
      <w:r w:rsidR="00B90F25">
        <w:rPr>
          <w:szCs w:val="24"/>
        </w:rPr>
        <w:t xml:space="preserve"> </w:t>
      </w:r>
      <w:r w:rsidR="004E2A3E">
        <w:rPr>
          <w:i/>
          <w:szCs w:val="24"/>
        </w:rPr>
        <w:t>See Twentieth Century Fox Film Corp. v. Entertainment Distributing</w:t>
      </w:r>
      <w:r w:rsidR="004E2A3E">
        <w:rPr>
          <w:szCs w:val="24"/>
        </w:rPr>
        <w:t>, 429 F.3d 869 (3d Cir. 2005).</w:t>
      </w:r>
      <w:r w:rsidR="004E2A3E">
        <w:rPr>
          <w:i/>
          <w:szCs w:val="24"/>
        </w:rPr>
        <w:t xml:space="preserve"> </w:t>
      </w:r>
      <w:r w:rsidR="00B90F25">
        <w:rPr>
          <w:szCs w:val="24"/>
        </w:rPr>
        <w:t xml:space="preserve">Looking at the </w:t>
      </w:r>
      <w:r w:rsidR="004E5519">
        <w:rPr>
          <w:szCs w:val="24"/>
        </w:rPr>
        <w:t>work</w:t>
      </w:r>
      <w:r w:rsidR="00B90F25">
        <w:rPr>
          <w:szCs w:val="24"/>
        </w:rPr>
        <w:t xml:space="preserve"> made for hire</w:t>
      </w:r>
      <w:r w:rsidR="004E5519">
        <w:rPr>
          <w:szCs w:val="24"/>
        </w:rPr>
        <w:t xml:space="preserve"> doctrine from a broad perspective</w:t>
      </w:r>
      <w:r w:rsidR="00B90F25">
        <w:rPr>
          <w:szCs w:val="24"/>
        </w:rPr>
        <w:t>,</w:t>
      </w:r>
      <w:r w:rsidR="004E5519">
        <w:rPr>
          <w:szCs w:val="24"/>
        </w:rPr>
        <w:t xml:space="preserve"> it appears to be intended to allow</w:t>
      </w:r>
      <w:r w:rsidR="00B90F25">
        <w:rPr>
          <w:szCs w:val="24"/>
        </w:rPr>
        <w:t xml:space="preserve"> individuals and corporate actors to more efficien</w:t>
      </w:r>
      <w:r w:rsidR="00FF4401">
        <w:rPr>
          <w:szCs w:val="24"/>
        </w:rPr>
        <w:t xml:space="preserve">tly exercise their </w:t>
      </w:r>
      <w:r w:rsidR="0036426B">
        <w:rPr>
          <w:szCs w:val="24"/>
        </w:rPr>
        <w:t>right to contract freely by establishing a pre-set arrangement convenient for commissioned and employee works.</w:t>
      </w:r>
    </w:p>
    <w:p w14:paraId="1566962D" w14:textId="77777777" w:rsidR="008015E0" w:rsidRDefault="008015E0" w:rsidP="0083287A">
      <w:pPr>
        <w:tabs>
          <w:tab w:val="left" w:pos="0"/>
        </w:tabs>
        <w:spacing w:line="480" w:lineRule="auto"/>
        <w:ind w:firstLine="720"/>
        <w:contextualSpacing/>
        <w:jc w:val="both"/>
        <w:rPr>
          <w:szCs w:val="24"/>
        </w:rPr>
      </w:pPr>
      <w:r>
        <w:rPr>
          <w:szCs w:val="24"/>
        </w:rPr>
        <w:t xml:space="preserve">Defendants’ interpretation requiring the written agreement to be signed prior to the creation of the work creates a bright line rule which would often work to frustrate relations between experienced parties while not necessarily working to provide additional protection to the author. </w:t>
      </w:r>
      <w:r w:rsidR="00C01F27">
        <w:rPr>
          <w:szCs w:val="24"/>
        </w:rPr>
        <w:t>Laying down such a bright line rule wou</w:t>
      </w:r>
      <w:r w:rsidR="004353B7">
        <w:rPr>
          <w:szCs w:val="24"/>
        </w:rPr>
        <w:t>ld unnecessarily</w:t>
      </w:r>
      <w:r w:rsidR="00C01F27">
        <w:rPr>
          <w:szCs w:val="24"/>
        </w:rPr>
        <w:t xml:space="preserve"> infringe upon the right to contract in cases where both parties have a complete understanding of the implications of works made for hire and both fully intend to enter into a work made for hire agreement but for some reason or another fail to put this in writing before the work is created. </w:t>
      </w:r>
      <w:r w:rsidR="00E01010">
        <w:rPr>
          <w:i/>
          <w:szCs w:val="24"/>
        </w:rPr>
        <w:t xml:space="preserve">See </w:t>
      </w:r>
      <w:r w:rsidR="00E01010" w:rsidRPr="00E01010">
        <w:rPr>
          <w:szCs w:val="24"/>
        </w:rPr>
        <w:t xml:space="preserve">1-5 </w:t>
      </w:r>
      <w:proofErr w:type="spellStart"/>
      <w:r w:rsidR="00E01010" w:rsidRPr="00E01010">
        <w:rPr>
          <w:szCs w:val="24"/>
          <w:u w:val="single"/>
        </w:rPr>
        <w:t>Nimmer</w:t>
      </w:r>
      <w:proofErr w:type="spellEnd"/>
      <w:r w:rsidR="00E01010" w:rsidRPr="00E01010">
        <w:rPr>
          <w:szCs w:val="24"/>
          <w:u w:val="single"/>
        </w:rPr>
        <w:t xml:space="preserve"> on Copyright</w:t>
      </w:r>
      <w:r w:rsidR="00E01010" w:rsidRPr="00E01010">
        <w:rPr>
          <w:szCs w:val="24"/>
        </w:rPr>
        <w:t xml:space="preserve"> § 5.03</w:t>
      </w:r>
      <w:r w:rsidR="00E01010">
        <w:rPr>
          <w:szCs w:val="24"/>
        </w:rPr>
        <w:t>[B][2][b] (1994).</w:t>
      </w:r>
    </w:p>
    <w:p w14:paraId="1B9BFBD1" w14:textId="77777777" w:rsidR="00713222" w:rsidRPr="00FB191D" w:rsidRDefault="00C90E99" w:rsidP="0083287A">
      <w:pPr>
        <w:tabs>
          <w:tab w:val="left" w:pos="0"/>
        </w:tabs>
        <w:spacing w:line="480" w:lineRule="auto"/>
        <w:ind w:firstLine="720"/>
        <w:contextualSpacing/>
        <w:jc w:val="both"/>
        <w:rPr>
          <w:szCs w:val="24"/>
        </w:rPr>
      </w:pPr>
      <w:r w:rsidRPr="00FB191D">
        <w:rPr>
          <w:szCs w:val="24"/>
        </w:rPr>
        <w:t xml:space="preserve">OGS’s interpretation of § 101, which allows for the writing to be signed subsequent to the creation of the work if it confirms an earlier agreement, protects the rights of authors equally well as the Defendants’ proposed bright line rule without burdening </w:t>
      </w:r>
      <w:r w:rsidR="00E36F33" w:rsidRPr="00FB191D">
        <w:rPr>
          <w:szCs w:val="24"/>
        </w:rPr>
        <w:t xml:space="preserve">experienced </w:t>
      </w:r>
      <w:r w:rsidRPr="00FB191D">
        <w:rPr>
          <w:szCs w:val="24"/>
        </w:rPr>
        <w:t xml:space="preserve">parties </w:t>
      </w:r>
      <w:r w:rsidR="00E36F33" w:rsidRPr="00FB191D">
        <w:rPr>
          <w:szCs w:val="24"/>
        </w:rPr>
        <w:t>with an unnecessary constraint</w:t>
      </w:r>
      <w:r w:rsidRPr="00FB191D">
        <w:rPr>
          <w:szCs w:val="24"/>
        </w:rPr>
        <w:t xml:space="preserve">. </w:t>
      </w:r>
      <w:r w:rsidR="00963B6D">
        <w:rPr>
          <w:szCs w:val="24"/>
        </w:rPr>
        <w:t>Moreover, w</w:t>
      </w:r>
      <w:r w:rsidRPr="00FB191D">
        <w:rPr>
          <w:szCs w:val="24"/>
        </w:rPr>
        <w:t>ith the chance that parties may not read a written contract closely or at all, beginning the</w:t>
      </w:r>
      <w:r w:rsidR="00513AB8" w:rsidRPr="00FB191D">
        <w:rPr>
          <w:szCs w:val="24"/>
        </w:rPr>
        <w:t xml:space="preserve"> agreement orally can be even more effective </w:t>
      </w:r>
      <w:r w:rsidR="00D546EF" w:rsidRPr="00FB191D">
        <w:rPr>
          <w:szCs w:val="24"/>
        </w:rPr>
        <w:t xml:space="preserve">at ensuring that the author understands </w:t>
      </w:r>
      <w:r w:rsidR="00513AB8" w:rsidRPr="00FB191D">
        <w:rPr>
          <w:szCs w:val="24"/>
        </w:rPr>
        <w:t>than starting with the written contract, because an oral agreement is more likely to be easier for the ordinary person to understand</w:t>
      </w:r>
      <w:r w:rsidR="00D546EF" w:rsidRPr="00FB191D">
        <w:rPr>
          <w:szCs w:val="24"/>
        </w:rPr>
        <w:t xml:space="preserve"> when compared to contracts which are constructed using opaque, boilerplate provisions.</w:t>
      </w:r>
      <w:r w:rsidR="00FB191D" w:rsidRPr="00FB191D">
        <w:rPr>
          <w:szCs w:val="24"/>
        </w:rPr>
        <w:t xml:space="preserve"> For example, in the instant case, the written agreement was signed after the screenplay was written, confirming an earlier oral agreement. When entering the oral agreement, Nelson stated unambiguously who would be considered the </w:t>
      </w:r>
      <w:r w:rsidR="00FB191D" w:rsidRPr="00FB191D">
        <w:rPr>
          <w:szCs w:val="24"/>
        </w:rPr>
        <w:lastRenderedPageBreak/>
        <w:t>auth</w:t>
      </w:r>
      <w:r w:rsidR="00963B6D">
        <w:rPr>
          <w:szCs w:val="24"/>
        </w:rPr>
        <w:t>or of the work as made for hire, and this allowed the parties, who were experienced actors, to get to work right away without having to worry about the paperwork until later. The flexible rule allowed for Lime to make the work made for hire agreement in an efficient manner while still ensuring she was informed of the legal consequences.</w:t>
      </w:r>
    </w:p>
    <w:p w14:paraId="4A182EA2" w14:textId="77777777" w:rsidR="00D546EF" w:rsidRPr="00D546EF" w:rsidRDefault="00CE5D1C" w:rsidP="0083287A">
      <w:pPr>
        <w:tabs>
          <w:tab w:val="left" w:pos="0"/>
        </w:tabs>
        <w:spacing w:line="480" w:lineRule="auto"/>
        <w:ind w:firstLine="720"/>
        <w:contextualSpacing/>
        <w:jc w:val="both"/>
        <w:rPr>
          <w:szCs w:val="24"/>
        </w:rPr>
      </w:pPr>
      <w:r>
        <w:rPr>
          <w:szCs w:val="24"/>
        </w:rPr>
        <w:t>Taking into account the competing policy goals of ensuring that parties have the ability to contract as they wish and attempting to protect the interests of the author in their work, the OGS interpretation of § 101 is superior to the Defendants’ proposed one. It protects the author’s interests without hindering the market for commissioned works, as the opposing construction does.</w:t>
      </w:r>
    </w:p>
    <w:p w14:paraId="1CC1CF0D" w14:textId="77777777" w:rsidR="0008172F" w:rsidRPr="003F3CBB" w:rsidRDefault="0008172F" w:rsidP="0008172F">
      <w:pPr>
        <w:pStyle w:val="ListParagraph"/>
        <w:rPr>
          <w:b/>
          <w:szCs w:val="24"/>
        </w:rPr>
      </w:pPr>
    </w:p>
    <w:p w14:paraId="5230E32A" w14:textId="77777777" w:rsidR="00F10871" w:rsidRPr="003F3CBB" w:rsidRDefault="00A214A0" w:rsidP="003F3CBB">
      <w:pPr>
        <w:pStyle w:val="ListParagraph"/>
        <w:numPr>
          <w:ilvl w:val="0"/>
          <w:numId w:val="4"/>
        </w:numPr>
        <w:rPr>
          <w:szCs w:val="24"/>
        </w:rPr>
      </w:pPr>
      <w:r w:rsidRPr="003F3CBB">
        <w:rPr>
          <w:b/>
          <w:szCs w:val="24"/>
        </w:rPr>
        <w:t xml:space="preserve">Other Jurisdictions </w:t>
      </w:r>
      <w:r w:rsidR="00994124">
        <w:rPr>
          <w:b/>
          <w:szCs w:val="24"/>
        </w:rPr>
        <w:t>Support the Idea t</w:t>
      </w:r>
      <w:r w:rsidR="00412277" w:rsidRPr="003F3CBB">
        <w:rPr>
          <w:b/>
          <w:szCs w:val="24"/>
        </w:rPr>
        <w:t xml:space="preserve">hat </w:t>
      </w:r>
      <w:r w:rsidR="00661EC6" w:rsidRPr="003F3CBB">
        <w:rPr>
          <w:b/>
          <w:szCs w:val="24"/>
        </w:rPr>
        <w:t>a Limitation on</w:t>
      </w:r>
      <w:r w:rsidR="00013CFC" w:rsidRPr="003F3CBB">
        <w:rPr>
          <w:b/>
          <w:szCs w:val="24"/>
        </w:rPr>
        <w:t xml:space="preserve"> the Timing of the Signed Writing is Unnecessary If the Parties Understand</w:t>
      </w:r>
      <w:r w:rsidR="00994124">
        <w:rPr>
          <w:b/>
          <w:szCs w:val="24"/>
        </w:rPr>
        <w:t xml:space="preserve"> Prior to Creation that</w:t>
      </w:r>
      <w:r w:rsidR="00013CFC" w:rsidRPr="003F3CBB">
        <w:rPr>
          <w:b/>
          <w:szCs w:val="24"/>
        </w:rPr>
        <w:t xml:space="preserve"> the Works Will Be Made </w:t>
      </w:r>
      <w:r w:rsidR="00661EC6" w:rsidRPr="003F3CBB">
        <w:rPr>
          <w:b/>
          <w:szCs w:val="24"/>
        </w:rPr>
        <w:t>for</w:t>
      </w:r>
      <w:r w:rsidR="00013CFC" w:rsidRPr="003F3CBB">
        <w:rPr>
          <w:b/>
          <w:szCs w:val="24"/>
        </w:rPr>
        <w:t xml:space="preserve"> Hire</w:t>
      </w:r>
      <w:r w:rsidR="009B3F45" w:rsidRPr="003F3CBB">
        <w:rPr>
          <w:b/>
          <w:szCs w:val="24"/>
        </w:rPr>
        <w:t>.</w:t>
      </w:r>
    </w:p>
    <w:p w14:paraId="38879A00" w14:textId="77777777" w:rsidR="00F10871" w:rsidRPr="00F10871" w:rsidRDefault="00F10871" w:rsidP="00F10871">
      <w:pPr>
        <w:rPr>
          <w:szCs w:val="24"/>
        </w:rPr>
      </w:pPr>
    </w:p>
    <w:p w14:paraId="452BC060" w14:textId="77777777" w:rsidR="003237A5" w:rsidRDefault="00E94E59" w:rsidP="00342BDF">
      <w:pPr>
        <w:spacing w:line="480" w:lineRule="auto"/>
        <w:ind w:firstLine="720"/>
        <w:contextualSpacing/>
        <w:jc w:val="both"/>
        <w:rPr>
          <w:szCs w:val="24"/>
        </w:rPr>
      </w:pPr>
      <w:r>
        <w:rPr>
          <w:szCs w:val="24"/>
        </w:rPr>
        <w:t xml:space="preserve">There is no binding precedent in this jurisdiction on the question of whether the signed writing must be executed prior to the creation of the work. The </w:t>
      </w:r>
      <w:r w:rsidR="009334D6">
        <w:rPr>
          <w:szCs w:val="24"/>
        </w:rPr>
        <w:t xml:space="preserve">United States </w:t>
      </w:r>
      <w:r>
        <w:rPr>
          <w:szCs w:val="24"/>
        </w:rPr>
        <w:t xml:space="preserve">Supreme Court has either declined to grant certiorari in these cases or has avoided ruling on the issue. </w:t>
      </w:r>
      <w:r w:rsidR="00497184">
        <w:rPr>
          <w:szCs w:val="24"/>
        </w:rPr>
        <w:t>Decisions of other federal courts, however, constitute persuasive authority. This is especially true in matters concerning comprehensive federal statutes, since there is an interest in having interpretation and application of such laws be uniform throughout the nation.</w:t>
      </w:r>
      <w:r w:rsidR="003237A5">
        <w:rPr>
          <w:szCs w:val="24"/>
        </w:rPr>
        <w:t xml:space="preserve"> </w:t>
      </w:r>
      <w:r w:rsidR="00136241">
        <w:rPr>
          <w:i/>
          <w:szCs w:val="24"/>
        </w:rPr>
        <w:t>See Matter of Reading Co.</w:t>
      </w:r>
      <w:r w:rsidR="00136241">
        <w:rPr>
          <w:szCs w:val="24"/>
        </w:rPr>
        <w:t xml:space="preserve">, 900 </w:t>
      </w:r>
      <w:proofErr w:type="spellStart"/>
      <w:r w:rsidR="00136241">
        <w:rPr>
          <w:szCs w:val="24"/>
        </w:rPr>
        <w:t>F.Supp</w:t>
      </w:r>
      <w:proofErr w:type="spellEnd"/>
      <w:r w:rsidR="00136241">
        <w:rPr>
          <w:szCs w:val="24"/>
        </w:rPr>
        <w:t>. 738 (</w:t>
      </w:r>
      <w:proofErr w:type="spellStart"/>
      <w:r w:rsidR="00136241">
        <w:rPr>
          <w:szCs w:val="24"/>
        </w:rPr>
        <w:t>E.D.Pa</w:t>
      </w:r>
      <w:proofErr w:type="spellEnd"/>
      <w:r w:rsidR="00136241">
        <w:rPr>
          <w:szCs w:val="24"/>
        </w:rPr>
        <w:t xml:space="preserve">. 1995). </w:t>
      </w:r>
      <w:r w:rsidR="002742EB">
        <w:rPr>
          <w:szCs w:val="24"/>
        </w:rPr>
        <w:t>There is a circuit split on the issue</w:t>
      </w:r>
      <w:r w:rsidR="00785C0C">
        <w:rPr>
          <w:szCs w:val="24"/>
        </w:rPr>
        <w:t xml:space="preserve"> of when the written agreement must be signed</w:t>
      </w:r>
      <w:r w:rsidR="002742EB">
        <w:rPr>
          <w:szCs w:val="24"/>
        </w:rPr>
        <w:t>, but an analysis of the seemingly op</w:t>
      </w:r>
      <w:r w:rsidR="00286B3F">
        <w:rPr>
          <w:szCs w:val="24"/>
        </w:rPr>
        <w:t>posing rationales shows that</w:t>
      </w:r>
      <w:r w:rsidR="002742EB">
        <w:rPr>
          <w:szCs w:val="24"/>
        </w:rPr>
        <w:t xml:space="preserve"> OGS</w:t>
      </w:r>
      <w:r w:rsidR="00286B3F">
        <w:rPr>
          <w:szCs w:val="24"/>
        </w:rPr>
        <w:t>’s</w:t>
      </w:r>
      <w:r w:rsidR="002742EB">
        <w:rPr>
          <w:szCs w:val="24"/>
        </w:rPr>
        <w:t xml:space="preserve"> interpretation</w:t>
      </w:r>
      <w:r w:rsidR="00785C0C">
        <w:rPr>
          <w:szCs w:val="24"/>
        </w:rPr>
        <w:t xml:space="preserve"> of the work made for hire doctrine</w:t>
      </w:r>
      <w:r w:rsidR="002742EB">
        <w:rPr>
          <w:szCs w:val="24"/>
        </w:rPr>
        <w:t xml:space="preserve"> is able to reconcile them. </w:t>
      </w:r>
    </w:p>
    <w:p w14:paraId="3A7FFC91" w14:textId="77777777" w:rsidR="006E252C" w:rsidRDefault="002742EB" w:rsidP="00342BDF">
      <w:pPr>
        <w:spacing w:line="480" w:lineRule="auto"/>
        <w:ind w:firstLine="720"/>
        <w:contextualSpacing/>
        <w:jc w:val="both"/>
        <w:rPr>
          <w:szCs w:val="24"/>
        </w:rPr>
      </w:pPr>
      <w:r>
        <w:rPr>
          <w:szCs w:val="24"/>
        </w:rPr>
        <w:t>T</w:t>
      </w:r>
      <w:r w:rsidR="006E252C" w:rsidRPr="006E252C">
        <w:rPr>
          <w:szCs w:val="24"/>
        </w:rPr>
        <w:t xml:space="preserve">he Second Circuit </w:t>
      </w:r>
      <w:r w:rsidR="00785C0C">
        <w:rPr>
          <w:szCs w:val="24"/>
        </w:rPr>
        <w:t>has stated</w:t>
      </w:r>
      <w:r w:rsidR="00FF7C3A">
        <w:rPr>
          <w:szCs w:val="24"/>
        </w:rPr>
        <w:t xml:space="preserve"> </w:t>
      </w:r>
      <w:r w:rsidR="00FF7C3A" w:rsidRPr="00FF7C3A">
        <w:rPr>
          <w:szCs w:val="24"/>
        </w:rPr>
        <w:t xml:space="preserve">“We are not convinced … that the actual writing memorializing the agreement must be executed before the creation of the work.” </w:t>
      </w:r>
      <w:r w:rsidR="00FF7C3A" w:rsidRPr="00FF7C3A">
        <w:rPr>
          <w:i/>
          <w:szCs w:val="24"/>
        </w:rPr>
        <w:t xml:space="preserve">Playboy Enterprises, Inc. v. Dumas, </w:t>
      </w:r>
      <w:r w:rsidR="00FF7C3A" w:rsidRPr="00FF7C3A">
        <w:rPr>
          <w:szCs w:val="24"/>
        </w:rPr>
        <w:t xml:space="preserve">53 F.3d 549, 559 (2d Cir. 1995). </w:t>
      </w:r>
      <w:r w:rsidR="00A57C3D">
        <w:rPr>
          <w:szCs w:val="24"/>
        </w:rPr>
        <w:t>The court also</w:t>
      </w:r>
      <w:r w:rsidR="00FF7C3A">
        <w:rPr>
          <w:szCs w:val="24"/>
        </w:rPr>
        <w:t xml:space="preserve"> note</w:t>
      </w:r>
      <w:r w:rsidR="0046239C">
        <w:rPr>
          <w:szCs w:val="24"/>
        </w:rPr>
        <w:t>d</w:t>
      </w:r>
      <w:r w:rsidR="006E252C" w:rsidRPr="006E252C">
        <w:rPr>
          <w:szCs w:val="24"/>
        </w:rPr>
        <w:t xml:space="preserve"> that the statute </w:t>
      </w:r>
      <w:r w:rsidR="006E252C" w:rsidRPr="006E252C">
        <w:rPr>
          <w:szCs w:val="24"/>
        </w:rPr>
        <w:lastRenderedPageBreak/>
        <w:t xml:space="preserve">requires that the parties agree </w:t>
      </w:r>
      <w:r w:rsidR="00EA216D">
        <w:rPr>
          <w:szCs w:val="24"/>
        </w:rPr>
        <w:t xml:space="preserve">or come to an understanding </w:t>
      </w:r>
      <w:r w:rsidR="006E252C" w:rsidRPr="006E252C">
        <w:rPr>
          <w:szCs w:val="24"/>
        </w:rPr>
        <w:t xml:space="preserve">before the creation of the work that it will be a work made for </w:t>
      </w:r>
      <w:r w:rsidR="00EA216D">
        <w:rPr>
          <w:szCs w:val="24"/>
        </w:rPr>
        <w:t xml:space="preserve">hire, such that the later written agreement is </w:t>
      </w:r>
      <w:r w:rsidR="00B059D6">
        <w:rPr>
          <w:szCs w:val="24"/>
        </w:rPr>
        <w:t xml:space="preserve">essentially </w:t>
      </w:r>
      <w:r w:rsidR="00EA216D">
        <w:rPr>
          <w:szCs w:val="24"/>
        </w:rPr>
        <w:t xml:space="preserve">a confirmation or memorialization of the earlier </w:t>
      </w:r>
      <w:r w:rsidR="007E255E">
        <w:rPr>
          <w:szCs w:val="24"/>
        </w:rPr>
        <w:t xml:space="preserve">oral or implied </w:t>
      </w:r>
      <w:r w:rsidR="00EA216D">
        <w:rPr>
          <w:szCs w:val="24"/>
        </w:rPr>
        <w:t xml:space="preserve">agreement. </w:t>
      </w:r>
      <w:r w:rsidR="00EA216D">
        <w:rPr>
          <w:i/>
          <w:szCs w:val="24"/>
        </w:rPr>
        <w:t>Id.</w:t>
      </w:r>
      <w:r w:rsidR="00493587">
        <w:rPr>
          <w:szCs w:val="24"/>
        </w:rPr>
        <w:t xml:space="preserve"> </w:t>
      </w:r>
      <w:r w:rsidR="00EA216D">
        <w:rPr>
          <w:szCs w:val="24"/>
        </w:rPr>
        <w:t>The reasoning behind requiring that some agreement or understanding be reached prior to the creation of the work involves</w:t>
      </w:r>
      <w:r w:rsidR="00493587">
        <w:rPr>
          <w:szCs w:val="24"/>
        </w:rPr>
        <w:t xml:space="preserve"> i</w:t>
      </w:r>
      <w:r w:rsidR="006E252C" w:rsidRPr="006E252C">
        <w:rPr>
          <w:szCs w:val="24"/>
        </w:rPr>
        <w:t>nterests in making the owner of copyright known, and in not having an overla</w:t>
      </w:r>
      <w:r w:rsidR="007E255E">
        <w:rPr>
          <w:szCs w:val="24"/>
        </w:rPr>
        <w:t>pping authorship problem which c</w:t>
      </w:r>
      <w:r w:rsidR="006E252C" w:rsidRPr="006E252C">
        <w:rPr>
          <w:szCs w:val="24"/>
        </w:rPr>
        <w:t>ould be cau</w:t>
      </w:r>
      <w:r w:rsidR="00B059D6">
        <w:rPr>
          <w:szCs w:val="24"/>
        </w:rPr>
        <w:t>sed by initiating</w:t>
      </w:r>
      <w:r w:rsidR="006E252C" w:rsidRPr="006E252C">
        <w:rPr>
          <w:szCs w:val="24"/>
        </w:rPr>
        <w:t xml:space="preserve"> a work made for hire agreement after the work had been created</w:t>
      </w:r>
      <w:r w:rsidR="007E255E">
        <w:rPr>
          <w:szCs w:val="24"/>
        </w:rPr>
        <w:t>.</w:t>
      </w:r>
    </w:p>
    <w:p w14:paraId="5B090A69" w14:textId="77777777" w:rsidR="00FF4401" w:rsidRPr="00DD0815" w:rsidRDefault="00EA12E6" w:rsidP="00342BDF">
      <w:pPr>
        <w:spacing w:line="480" w:lineRule="auto"/>
        <w:ind w:firstLine="720"/>
        <w:contextualSpacing/>
        <w:jc w:val="both"/>
        <w:rPr>
          <w:szCs w:val="24"/>
        </w:rPr>
      </w:pPr>
      <w:r>
        <w:rPr>
          <w:i/>
          <w:szCs w:val="24"/>
        </w:rPr>
        <w:t xml:space="preserve">Compaq Computer Corp. v. </w:t>
      </w:r>
      <w:proofErr w:type="spellStart"/>
      <w:r>
        <w:rPr>
          <w:i/>
          <w:szCs w:val="24"/>
        </w:rPr>
        <w:t>Ergonome</w:t>
      </w:r>
      <w:proofErr w:type="spellEnd"/>
      <w:r>
        <w:rPr>
          <w:i/>
          <w:szCs w:val="24"/>
        </w:rPr>
        <w:t xml:space="preserve"> Inc., </w:t>
      </w:r>
      <w:r>
        <w:rPr>
          <w:szCs w:val="24"/>
        </w:rPr>
        <w:t xml:space="preserve">210 F.Supp.2d 839 </w:t>
      </w:r>
      <w:r w:rsidRPr="00EA12E6">
        <w:rPr>
          <w:szCs w:val="24"/>
        </w:rPr>
        <w:t>(S.D. Tex. 2001)</w:t>
      </w:r>
      <w:r w:rsidR="00DD0815">
        <w:rPr>
          <w:szCs w:val="24"/>
        </w:rPr>
        <w:t xml:space="preserve"> adopts</w:t>
      </w:r>
      <w:r>
        <w:rPr>
          <w:szCs w:val="24"/>
        </w:rPr>
        <w:t xml:space="preserve"> the Second Circuit’</w:t>
      </w:r>
      <w:r w:rsidR="000B460D">
        <w:rPr>
          <w:szCs w:val="24"/>
        </w:rPr>
        <w:t>s reasoning</w:t>
      </w:r>
      <w:r w:rsidR="00DD0815">
        <w:rPr>
          <w:szCs w:val="24"/>
        </w:rPr>
        <w:t xml:space="preserve"> regarding the signed writing requirement</w:t>
      </w:r>
      <w:r w:rsidR="000B460D">
        <w:rPr>
          <w:szCs w:val="24"/>
        </w:rPr>
        <w:t>.</w:t>
      </w:r>
      <w:r>
        <w:rPr>
          <w:szCs w:val="24"/>
        </w:rPr>
        <w:t xml:space="preserve"> </w:t>
      </w:r>
      <w:r w:rsidR="00DD0815">
        <w:rPr>
          <w:szCs w:val="24"/>
        </w:rPr>
        <w:t xml:space="preserve">The </w:t>
      </w:r>
      <w:r w:rsidR="00DD0815">
        <w:rPr>
          <w:i/>
          <w:szCs w:val="24"/>
        </w:rPr>
        <w:t>Compaq</w:t>
      </w:r>
      <w:r w:rsidR="00DD0815">
        <w:rPr>
          <w:szCs w:val="24"/>
        </w:rPr>
        <w:t xml:space="preserve"> court</w:t>
      </w:r>
      <w:r w:rsidR="0046239C">
        <w:rPr>
          <w:szCs w:val="24"/>
        </w:rPr>
        <w:t xml:space="preserve"> state</w:t>
      </w:r>
      <w:r w:rsidR="00DD0815">
        <w:rPr>
          <w:szCs w:val="24"/>
        </w:rPr>
        <w:t>s that it “</w:t>
      </w:r>
      <w:r w:rsidRPr="00EA12E6">
        <w:rPr>
          <w:szCs w:val="24"/>
        </w:rPr>
        <w:t>finds that the Second Circuit's rule appropriately allows for a flexible, case-by-case inquiry into the existence of a work-for-hire agreement</w:t>
      </w:r>
      <w:r>
        <w:rPr>
          <w:szCs w:val="24"/>
        </w:rPr>
        <w:t xml:space="preserve">” </w:t>
      </w:r>
      <w:r>
        <w:rPr>
          <w:i/>
          <w:szCs w:val="24"/>
        </w:rPr>
        <w:t xml:space="preserve">Id. </w:t>
      </w:r>
      <w:r>
        <w:rPr>
          <w:szCs w:val="24"/>
        </w:rPr>
        <w:t xml:space="preserve">at 843. </w:t>
      </w:r>
      <w:r w:rsidR="00F70D34">
        <w:rPr>
          <w:szCs w:val="24"/>
        </w:rPr>
        <w:t>Th</w:t>
      </w:r>
      <w:r w:rsidR="0046239C">
        <w:rPr>
          <w:szCs w:val="24"/>
        </w:rPr>
        <w:t>e court in this case also adopted</w:t>
      </w:r>
      <w:r w:rsidR="00F70D34">
        <w:rPr>
          <w:szCs w:val="24"/>
        </w:rPr>
        <w:t xml:space="preserve"> the three question inquiry from </w:t>
      </w:r>
      <w:r w:rsidR="00F70D34">
        <w:rPr>
          <w:i/>
          <w:szCs w:val="24"/>
        </w:rPr>
        <w:t>Dumas</w:t>
      </w:r>
      <w:r w:rsidR="000E3539">
        <w:rPr>
          <w:szCs w:val="24"/>
        </w:rPr>
        <w:t>,</w:t>
      </w:r>
      <w:r w:rsidR="00DD0815">
        <w:rPr>
          <w:szCs w:val="24"/>
        </w:rPr>
        <w:t xml:space="preserve"> 53 F.3d at 559</w:t>
      </w:r>
      <w:r w:rsidR="000E3539">
        <w:rPr>
          <w:szCs w:val="24"/>
        </w:rPr>
        <w:t xml:space="preserve"> which establishes</w:t>
      </w:r>
      <w:r w:rsidR="00F70D34">
        <w:rPr>
          <w:szCs w:val="24"/>
        </w:rPr>
        <w:t xml:space="preserve"> that the important considerations in determining if a work is made for hire are (1) whether the language of the agreement is sufficient to meet the writing requirement of § 101; (2) if so, whether the parties understood at the time the works were created that they were made for hire; and (3) whether the agreement was signed by both parties or by their authorized agents. </w:t>
      </w:r>
      <w:r w:rsidR="00DD0815">
        <w:rPr>
          <w:i/>
          <w:szCs w:val="24"/>
        </w:rPr>
        <w:t>Compaq</w:t>
      </w:r>
      <w:r w:rsidR="00DD0815">
        <w:rPr>
          <w:szCs w:val="24"/>
        </w:rPr>
        <w:t>, 210 F.Supp.2d at 843.</w:t>
      </w:r>
    </w:p>
    <w:p w14:paraId="04E13FC8" w14:textId="77777777" w:rsidR="00562FC5" w:rsidRPr="009815EE" w:rsidRDefault="009815EE" w:rsidP="00342BDF">
      <w:pPr>
        <w:spacing w:line="480" w:lineRule="auto"/>
        <w:ind w:firstLine="720"/>
        <w:contextualSpacing/>
        <w:jc w:val="both"/>
        <w:rPr>
          <w:szCs w:val="24"/>
        </w:rPr>
      </w:pPr>
      <w:r>
        <w:rPr>
          <w:szCs w:val="24"/>
        </w:rPr>
        <w:t xml:space="preserve">The </w:t>
      </w:r>
      <w:r>
        <w:rPr>
          <w:i/>
          <w:szCs w:val="24"/>
        </w:rPr>
        <w:t>Dumas</w:t>
      </w:r>
      <w:r>
        <w:rPr>
          <w:szCs w:val="24"/>
        </w:rPr>
        <w:t xml:space="preserve"> and </w:t>
      </w:r>
      <w:r>
        <w:rPr>
          <w:i/>
          <w:szCs w:val="24"/>
        </w:rPr>
        <w:t>Compaq</w:t>
      </w:r>
      <w:r>
        <w:rPr>
          <w:szCs w:val="24"/>
        </w:rPr>
        <w:t xml:space="preserve"> rulings comport with OGS’s interpretation of § 101. </w:t>
      </w:r>
      <w:r w:rsidR="00941437">
        <w:rPr>
          <w:szCs w:val="24"/>
        </w:rPr>
        <w:t>In the instant</w:t>
      </w:r>
      <w:r w:rsidR="00DF1EE8">
        <w:rPr>
          <w:szCs w:val="24"/>
        </w:rPr>
        <w:t xml:space="preserve"> case, the writing signed on April 6 was essentially just a confirmation of the oral agreement on March 27. </w:t>
      </w:r>
      <w:r w:rsidR="00212CE6">
        <w:rPr>
          <w:szCs w:val="24"/>
        </w:rPr>
        <w:t xml:space="preserve">OGS’s interpretation and the above rulings on the meaning of § 101 would determine that the facts of this case establish “Anticipatory Repudiation” as a work made for hire, just as the parties intended for it to be. </w:t>
      </w:r>
      <w:r w:rsidR="00EE4E4F">
        <w:rPr>
          <w:szCs w:val="24"/>
        </w:rPr>
        <w:t xml:space="preserve">The three question test from </w:t>
      </w:r>
      <w:r w:rsidR="00EE4E4F" w:rsidRPr="00EE4E4F">
        <w:rPr>
          <w:szCs w:val="24"/>
        </w:rPr>
        <w:t>Dumas</w:t>
      </w:r>
      <w:r w:rsidR="00EE4E4F">
        <w:rPr>
          <w:szCs w:val="24"/>
        </w:rPr>
        <w:t xml:space="preserve"> and Compaq is an appropriate statement of what the Copyright Act requires to make something a work made </w:t>
      </w:r>
      <w:r w:rsidR="00EE4E4F">
        <w:rPr>
          <w:szCs w:val="24"/>
        </w:rPr>
        <w:lastRenderedPageBreak/>
        <w:t>for hire, because it is both flexible and ensures that the parties have the necessary understanding and come to a proper agreement.</w:t>
      </w:r>
      <w:r w:rsidR="00E25F34" w:rsidRPr="00EE4E4F">
        <w:rPr>
          <w:color w:val="FF0000"/>
          <w:szCs w:val="24"/>
        </w:rPr>
        <w:t xml:space="preserve"> </w:t>
      </w:r>
      <w:r w:rsidR="005A5A53">
        <w:rPr>
          <w:szCs w:val="24"/>
        </w:rPr>
        <w:t>Defendants’ rigid interpretation of § 101 would find the work to not be made for hire, contrary to the clear intent of OGS and Lime as shown by their dealings.</w:t>
      </w:r>
    </w:p>
    <w:p w14:paraId="505882C5" w14:textId="77777777" w:rsidR="006E252C" w:rsidRDefault="000B3D16" w:rsidP="00342BDF">
      <w:pPr>
        <w:spacing w:line="480" w:lineRule="auto"/>
        <w:ind w:firstLine="720"/>
        <w:contextualSpacing/>
        <w:jc w:val="both"/>
        <w:rPr>
          <w:szCs w:val="24"/>
        </w:rPr>
      </w:pPr>
      <w:r>
        <w:rPr>
          <w:szCs w:val="24"/>
        </w:rPr>
        <w:t xml:space="preserve">The Defendants </w:t>
      </w:r>
      <w:r w:rsidRPr="000B3D16">
        <w:rPr>
          <w:szCs w:val="24"/>
        </w:rPr>
        <w:t xml:space="preserve">cite the opposite side of the circuit split, which is expressed by Judge Posner’s opinion in </w:t>
      </w:r>
      <w:r w:rsidRPr="00FF7C3A">
        <w:rPr>
          <w:i/>
          <w:szCs w:val="24"/>
        </w:rPr>
        <w:t xml:space="preserve">Schiller &amp; Schmidt, Inc. v. </w:t>
      </w:r>
      <w:proofErr w:type="spellStart"/>
      <w:r w:rsidRPr="00FF7C3A">
        <w:rPr>
          <w:i/>
          <w:szCs w:val="24"/>
        </w:rPr>
        <w:t>Nordisco</w:t>
      </w:r>
      <w:proofErr w:type="spellEnd"/>
      <w:r w:rsidRPr="00FF7C3A">
        <w:rPr>
          <w:i/>
          <w:szCs w:val="24"/>
        </w:rPr>
        <w:t xml:space="preserve"> Corp.,</w:t>
      </w:r>
      <w:r w:rsidRPr="000B3D16">
        <w:rPr>
          <w:szCs w:val="24"/>
        </w:rPr>
        <w:t xml:space="preserve"> 969 F.2d</w:t>
      </w:r>
      <w:r w:rsidR="00336127">
        <w:rPr>
          <w:szCs w:val="24"/>
        </w:rPr>
        <w:t xml:space="preserve"> 410 (7th Cir. 1992), which says that the signing of the written agreement</w:t>
      </w:r>
      <w:r w:rsidRPr="000B3D16">
        <w:rPr>
          <w:szCs w:val="24"/>
        </w:rPr>
        <w:t xml:space="preserve"> “must precede the creation of the property in order to serve its purpose of identifying the (non</w:t>
      </w:r>
      <w:r w:rsidR="00837049">
        <w:rPr>
          <w:szCs w:val="24"/>
        </w:rPr>
        <w:t>-</w:t>
      </w:r>
      <w:r w:rsidRPr="000B3D16">
        <w:rPr>
          <w:szCs w:val="24"/>
        </w:rPr>
        <w:t xml:space="preserve">creator) owner unequivocally.” </w:t>
      </w:r>
      <w:r w:rsidRPr="000D48C8">
        <w:rPr>
          <w:i/>
          <w:szCs w:val="24"/>
        </w:rPr>
        <w:t>Id.</w:t>
      </w:r>
      <w:r w:rsidRPr="000B3D16">
        <w:rPr>
          <w:szCs w:val="24"/>
        </w:rPr>
        <w:t xml:space="preserve"> at 413.</w:t>
      </w:r>
      <w:r w:rsidR="00093418">
        <w:rPr>
          <w:szCs w:val="24"/>
        </w:rPr>
        <w:t xml:space="preserve"> However, in ¶ 16 of the Complaint,</w:t>
      </w:r>
      <w:r w:rsidRPr="000B3D16">
        <w:rPr>
          <w:szCs w:val="24"/>
        </w:rPr>
        <w:t xml:space="preserve"> the owner was unequivocally i</w:t>
      </w:r>
      <w:r w:rsidR="00093418">
        <w:rPr>
          <w:szCs w:val="24"/>
        </w:rPr>
        <w:t>dentified by Nelson in the oral agreement. The Seventh Circuit opinion provides</w:t>
      </w:r>
      <w:r w:rsidRPr="000B3D16">
        <w:rPr>
          <w:szCs w:val="24"/>
        </w:rPr>
        <w:t xml:space="preserve"> little reason why a sufficiently clear and definite oral agreement</w:t>
      </w:r>
      <w:r w:rsidR="00093418">
        <w:rPr>
          <w:szCs w:val="24"/>
        </w:rPr>
        <w:t>,</w:t>
      </w:r>
      <w:r w:rsidRPr="000B3D16">
        <w:rPr>
          <w:szCs w:val="24"/>
        </w:rPr>
        <w:t xml:space="preserve"> prior to the creation of the work</w:t>
      </w:r>
      <w:r w:rsidR="00093418">
        <w:rPr>
          <w:szCs w:val="24"/>
        </w:rPr>
        <w:t>,</w:t>
      </w:r>
      <w:r w:rsidRPr="000B3D16">
        <w:rPr>
          <w:szCs w:val="24"/>
        </w:rPr>
        <w:t xml:space="preserve"> </w:t>
      </w:r>
      <w:r w:rsidR="00093418">
        <w:rPr>
          <w:szCs w:val="24"/>
        </w:rPr>
        <w:t>would not serve this identifying purpose and</w:t>
      </w:r>
      <w:r w:rsidRPr="000B3D16">
        <w:rPr>
          <w:szCs w:val="24"/>
        </w:rPr>
        <w:t xml:space="preserve"> allow for the postponement of the written agreement.</w:t>
      </w:r>
      <w:r w:rsidR="00700034">
        <w:rPr>
          <w:szCs w:val="24"/>
        </w:rPr>
        <w:t xml:space="preserve"> </w:t>
      </w:r>
      <w:r w:rsidR="00AD4685">
        <w:rPr>
          <w:szCs w:val="24"/>
        </w:rPr>
        <w:t>On this point, the</w:t>
      </w:r>
      <w:r w:rsidR="002B494E">
        <w:rPr>
          <w:szCs w:val="24"/>
        </w:rPr>
        <w:t xml:space="preserve"> judgment laid down by the Seventh Circuit</w:t>
      </w:r>
      <w:r w:rsidR="00AD4685">
        <w:rPr>
          <w:szCs w:val="24"/>
        </w:rPr>
        <w:t xml:space="preserve"> </w:t>
      </w:r>
      <w:r w:rsidR="00336127">
        <w:rPr>
          <w:szCs w:val="24"/>
        </w:rPr>
        <w:t xml:space="preserve">chooses a bright line rule of requiring the writing to be signed prior to the creation of the work without establishing that a more flexible rule would be inadequate. </w:t>
      </w:r>
      <w:r w:rsidR="00700034">
        <w:rPr>
          <w:szCs w:val="24"/>
        </w:rPr>
        <w:t>The written agreement serves the evidentiary, or statute of frauds, purpose in an equivalent manner regardless of whether it is signed before or after the work is created. Furthermore, an oral agreement prior to the creation of the work can be just as clear and definite as the written statement in identifying the owner, as in the case of Nelson’s agreement with Lime. This prior oral agreement would serve the interests in making copyright ownership predictable and certain the same as the signed writing can.</w:t>
      </w:r>
    </w:p>
    <w:p w14:paraId="6E9D925C" w14:textId="77777777" w:rsidR="00FF4401" w:rsidRDefault="003514DF" w:rsidP="00342BDF">
      <w:pPr>
        <w:spacing w:line="480" w:lineRule="auto"/>
        <w:ind w:firstLine="720"/>
        <w:contextualSpacing/>
        <w:jc w:val="both"/>
        <w:rPr>
          <w:szCs w:val="24"/>
        </w:rPr>
      </w:pPr>
      <w:r>
        <w:rPr>
          <w:szCs w:val="24"/>
        </w:rPr>
        <w:t>By requiring that the parties express understanding that a work will be made for hire</w:t>
      </w:r>
      <w:r w:rsidR="0041441A">
        <w:rPr>
          <w:szCs w:val="24"/>
        </w:rPr>
        <w:t xml:space="preserve"> before the work is created</w:t>
      </w:r>
      <w:r>
        <w:rPr>
          <w:szCs w:val="24"/>
        </w:rPr>
        <w:t xml:space="preserve">, but allowing the writing to be signed at any time, </w:t>
      </w:r>
      <w:r w:rsidR="007375BC">
        <w:rPr>
          <w:szCs w:val="24"/>
        </w:rPr>
        <w:t xml:space="preserve">OGS’s interpretation of § 101 is in accordance with both the Second Circuit’s reasoning emphasizing flexibility and honoring the parties’ intent, and also the Seventh Circuit’s reasoning which puts a </w:t>
      </w:r>
      <w:r w:rsidR="007375BC">
        <w:rPr>
          <w:szCs w:val="24"/>
        </w:rPr>
        <w:lastRenderedPageBreak/>
        <w:t xml:space="preserve">premium on clarity and certainty. </w:t>
      </w:r>
      <w:r w:rsidR="00E50F27">
        <w:rPr>
          <w:szCs w:val="24"/>
        </w:rPr>
        <w:t xml:space="preserve">The Defendants’ interpretation cannot similarly be said to </w:t>
      </w:r>
      <w:r w:rsidR="00A452BB">
        <w:rPr>
          <w:szCs w:val="24"/>
        </w:rPr>
        <w:t>give due consideration to both views.</w:t>
      </w:r>
    </w:p>
    <w:p w14:paraId="2E04C89C" w14:textId="77777777" w:rsidR="00B61DB4" w:rsidRDefault="00B61DB4" w:rsidP="00B61DB4">
      <w:pPr>
        <w:tabs>
          <w:tab w:val="left" w:pos="0"/>
        </w:tabs>
        <w:spacing w:line="480" w:lineRule="auto"/>
        <w:contextualSpacing/>
        <w:jc w:val="center"/>
        <w:rPr>
          <w:b/>
          <w:szCs w:val="24"/>
          <w:u w:val="single"/>
        </w:rPr>
      </w:pPr>
      <w:r>
        <w:rPr>
          <w:b/>
          <w:szCs w:val="24"/>
          <w:u w:val="single"/>
        </w:rPr>
        <w:t>CONCLUSION</w:t>
      </w:r>
    </w:p>
    <w:p w14:paraId="0890E5D0" w14:textId="77777777" w:rsidR="000468EB" w:rsidRDefault="00922CBE" w:rsidP="00B84B9E">
      <w:pPr>
        <w:tabs>
          <w:tab w:val="left" w:pos="0"/>
        </w:tabs>
        <w:spacing w:line="480" w:lineRule="auto"/>
        <w:ind w:firstLine="720"/>
        <w:contextualSpacing/>
        <w:jc w:val="both"/>
        <w:rPr>
          <w:szCs w:val="24"/>
        </w:rPr>
      </w:pPr>
      <w:r>
        <w:rPr>
          <w:szCs w:val="24"/>
        </w:rPr>
        <w:t>G</w:t>
      </w:r>
      <w:r w:rsidR="0041441A">
        <w:rPr>
          <w:szCs w:val="24"/>
        </w:rPr>
        <w:t>iven the language of the Copyright Act</w:t>
      </w:r>
      <w:r>
        <w:rPr>
          <w:szCs w:val="24"/>
        </w:rPr>
        <w:t xml:space="preserve">, the Congressional intent regarding the work made for </w:t>
      </w:r>
      <w:r w:rsidR="00B451BA">
        <w:rPr>
          <w:szCs w:val="24"/>
        </w:rPr>
        <w:t>hire doctrine, and the</w:t>
      </w:r>
      <w:r>
        <w:rPr>
          <w:szCs w:val="24"/>
        </w:rPr>
        <w:t xml:space="preserve"> views of federal courts on the issue,</w:t>
      </w:r>
      <w:r w:rsidR="007B4739">
        <w:rPr>
          <w:szCs w:val="24"/>
        </w:rPr>
        <w:t xml:space="preserve"> the interactions of Lime and Nelson on March 27 and April 6 constitute a valid work made for hire agreement</w:t>
      </w:r>
      <w:r w:rsidR="00B451BA">
        <w:rPr>
          <w:szCs w:val="24"/>
        </w:rPr>
        <w:t>. None of the above sources of interpretation mandates that the written agreement be executed prior to the creation of the work. Allowing a writing signed post-creation to confirm or memorialize a former oral agreement promotes flexibility and honors the expressed intent of the parties without sacrificing protection of the author’s interest in his work.</w:t>
      </w:r>
      <w:r w:rsidR="007B4739">
        <w:rPr>
          <w:szCs w:val="24"/>
        </w:rPr>
        <w:t xml:space="preserve"> Because the parties in this case fully understood the situation, clearly expressed copyright ownership before creation, and confirmed later in writing that the work would be made for hire, </w:t>
      </w:r>
      <w:r w:rsidR="007B4739" w:rsidRPr="007B4739">
        <w:rPr>
          <w:szCs w:val="24"/>
        </w:rPr>
        <w:t>“Anticipatory Repudiation” is a work made f</w:t>
      </w:r>
      <w:r w:rsidR="007B4739">
        <w:rPr>
          <w:szCs w:val="24"/>
        </w:rPr>
        <w:t>or hire and thus OGS is the author of the screenplay.</w:t>
      </w:r>
      <w:r w:rsidR="00A803A4">
        <w:rPr>
          <w:szCs w:val="24"/>
        </w:rPr>
        <w:t xml:space="preserve"> For this reason, OGS has a valid claim of </w:t>
      </w:r>
      <w:r w:rsidR="00B1732A">
        <w:rPr>
          <w:szCs w:val="24"/>
        </w:rPr>
        <w:t>copyright infringement and Defendants’</w:t>
      </w:r>
      <w:r w:rsidR="00A803A4">
        <w:rPr>
          <w:szCs w:val="24"/>
        </w:rPr>
        <w:t xml:space="preserve"> motion to dismiss should be denied.</w:t>
      </w:r>
    </w:p>
    <w:p w14:paraId="39CD0792" w14:textId="77777777" w:rsidR="0043249B" w:rsidRPr="000468EB" w:rsidRDefault="0043249B" w:rsidP="00B84B9E">
      <w:pPr>
        <w:tabs>
          <w:tab w:val="left" w:pos="0"/>
        </w:tabs>
        <w:spacing w:line="480" w:lineRule="auto"/>
        <w:ind w:firstLine="720"/>
        <w:contextualSpacing/>
        <w:jc w:val="both"/>
        <w:rPr>
          <w:szCs w:val="24"/>
        </w:rPr>
      </w:pPr>
    </w:p>
    <w:p w14:paraId="09A84FEC" w14:textId="77777777" w:rsidR="00F10871" w:rsidRDefault="00F10871" w:rsidP="00F10871">
      <w:pPr>
        <w:rPr>
          <w:szCs w:val="24"/>
        </w:rPr>
      </w:pPr>
    </w:p>
    <w:p w14:paraId="190EC915" w14:textId="77777777" w:rsidR="00F10871" w:rsidRPr="0009061A" w:rsidRDefault="00F10871" w:rsidP="00F10871">
      <w:pPr>
        <w:widowControl/>
        <w:tabs>
          <w:tab w:val="right" w:pos="9360"/>
        </w:tabs>
        <w:spacing w:after="200"/>
        <w:contextualSpacing/>
        <w:jc w:val="right"/>
        <w:rPr>
          <w:rFonts w:eastAsiaTheme="minorHAnsi"/>
          <w:snapToGrid/>
          <w:szCs w:val="22"/>
          <w:u w:val="single"/>
        </w:rPr>
      </w:pPr>
      <w:r w:rsidRPr="00F10871">
        <w:rPr>
          <w:rFonts w:eastAsiaTheme="minorHAnsi"/>
          <w:snapToGrid/>
          <w:szCs w:val="22"/>
        </w:rPr>
        <w:t xml:space="preserve">Dated: </w:t>
      </w:r>
      <w:r w:rsidRPr="00F10871">
        <w:rPr>
          <w:rFonts w:eastAsiaTheme="minorHAnsi"/>
          <w:snapToGrid/>
          <w:szCs w:val="22"/>
          <w:u w:val="single"/>
        </w:rPr>
        <w:t>March 1, 2012</w:t>
      </w:r>
      <w:r w:rsidRPr="00F10871">
        <w:rPr>
          <w:rFonts w:eastAsiaTheme="minorHAnsi"/>
          <w:snapToGrid/>
          <w:szCs w:val="22"/>
        </w:rPr>
        <w:tab/>
      </w:r>
      <w:r w:rsidR="0009061A">
        <w:rPr>
          <w:rFonts w:eastAsiaTheme="minorHAnsi"/>
          <w:snapToGrid/>
          <w:szCs w:val="22"/>
        </w:rPr>
        <w:t xml:space="preserve">  ___</w:t>
      </w:r>
      <w:r w:rsidR="00AD18F8">
        <w:rPr>
          <w:rFonts w:eastAsiaTheme="minorHAnsi"/>
          <w:snapToGrid/>
          <w:szCs w:val="22"/>
          <w:u w:val="single"/>
        </w:rPr>
        <w:t>___________________</w:t>
      </w:r>
    </w:p>
    <w:p w14:paraId="6744F4E1" w14:textId="77777777" w:rsidR="00F10871" w:rsidRPr="00F10871" w:rsidRDefault="00DB66A8" w:rsidP="00F10871">
      <w:pPr>
        <w:widowControl/>
        <w:tabs>
          <w:tab w:val="right" w:pos="9360"/>
        </w:tabs>
        <w:spacing w:after="200"/>
        <w:contextualSpacing/>
        <w:jc w:val="right"/>
        <w:rPr>
          <w:rFonts w:eastAsiaTheme="minorHAnsi"/>
          <w:snapToGrid/>
          <w:szCs w:val="22"/>
        </w:rPr>
      </w:pPr>
      <w:r>
        <w:rPr>
          <w:szCs w:val="24"/>
        </w:rPr>
        <w:t>&lt;redacted&gt;&lt;/redacted&gt;</w:t>
      </w:r>
      <w:bookmarkStart w:id="0" w:name="_GoBack"/>
      <w:bookmarkEnd w:id="0"/>
    </w:p>
    <w:p w14:paraId="5B735C2A" w14:textId="77777777" w:rsidR="00F10871" w:rsidRPr="00F10871" w:rsidRDefault="00F10871" w:rsidP="00F10871">
      <w:pPr>
        <w:widowControl/>
        <w:tabs>
          <w:tab w:val="right" w:pos="9360"/>
        </w:tabs>
        <w:spacing w:after="200"/>
        <w:contextualSpacing/>
        <w:rPr>
          <w:rFonts w:eastAsiaTheme="minorHAnsi"/>
          <w:snapToGrid/>
          <w:szCs w:val="22"/>
        </w:rPr>
      </w:pPr>
    </w:p>
    <w:p w14:paraId="73A39DD5" w14:textId="77777777" w:rsidR="0009061A" w:rsidRPr="00F76416" w:rsidRDefault="0009061A" w:rsidP="0009061A">
      <w:pPr>
        <w:widowControl/>
        <w:ind w:left="107"/>
        <w:jc w:val="right"/>
        <w:rPr>
          <w:snapToGrid/>
          <w:szCs w:val="24"/>
        </w:rPr>
      </w:pPr>
    </w:p>
    <w:p w14:paraId="66EAE7C4" w14:textId="77777777" w:rsidR="00A91066" w:rsidRPr="00F76416" w:rsidRDefault="00A91066" w:rsidP="00F76416">
      <w:pPr>
        <w:widowControl/>
        <w:ind w:left="107"/>
        <w:jc w:val="right"/>
        <w:rPr>
          <w:snapToGrid/>
          <w:szCs w:val="24"/>
        </w:rPr>
      </w:pPr>
    </w:p>
    <w:sectPr w:rsidR="00A91066" w:rsidRPr="00F76416">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751DF1" w14:textId="77777777" w:rsidR="00921D6A" w:rsidRDefault="00921D6A" w:rsidP="003F3CBB">
      <w:r>
        <w:separator/>
      </w:r>
    </w:p>
  </w:endnote>
  <w:endnote w:type="continuationSeparator" w:id="0">
    <w:p w14:paraId="50B7B6C7" w14:textId="77777777" w:rsidR="00921D6A" w:rsidRDefault="00921D6A" w:rsidP="003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6465494"/>
      <w:docPartObj>
        <w:docPartGallery w:val="Page Numbers (Bottom of Page)"/>
        <w:docPartUnique/>
      </w:docPartObj>
    </w:sdtPr>
    <w:sdtEndPr>
      <w:rPr>
        <w:noProof/>
      </w:rPr>
    </w:sdtEndPr>
    <w:sdtContent>
      <w:p w14:paraId="1B65A423" w14:textId="77777777" w:rsidR="003F3CBB" w:rsidRDefault="003F3CBB">
        <w:pPr>
          <w:pStyle w:val="Footer"/>
          <w:jc w:val="center"/>
        </w:pPr>
        <w:r>
          <w:fldChar w:fldCharType="begin"/>
        </w:r>
        <w:r>
          <w:instrText xml:space="preserve"> PAGE   \* MERGEFORMAT </w:instrText>
        </w:r>
        <w:r>
          <w:fldChar w:fldCharType="separate"/>
        </w:r>
        <w:r w:rsidR="00DB66A8">
          <w:rPr>
            <w:noProof/>
          </w:rPr>
          <w:t>15</w:t>
        </w:r>
        <w:r>
          <w:rPr>
            <w:noProof/>
          </w:rPr>
          <w:fldChar w:fldCharType="end"/>
        </w:r>
      </w:p>
    </w:sdtContent>
  </w:sdt>
  <w:p w14:paraId="255696E7" w14:textId="77777777" w:rsidR="003F3CBB" w:rsidRDefault="003F3CB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CA3FEA" w14:textId="77777777" w:rsidR="00921D6A" w:rsidRDefault="00921D6A" w:rsidP="003F3CBB">
      <w:r>
        <w:separator/>
      </w:r>
    </w:p>
  </w:footnote>
  <w:footnote w:type="continuationSeparator" w:id="0">
    <w:p w14:paraId="46ADD7D6" w14:textId="77777777" w:rsidR="00921D6A" w:rsidRDefault="00921D6A" w:rsidP="003F3CB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16D91"/>
    <w:multiLevelType w:val="hybridMultilevel"/>
    <w:tmpl w:val="76FAED3E"/>
    <w:lvl w:ilvl="0" w:tplc="0E5C38E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331FA5"/>
    <w:multiLevelType w:val="multilevel"/>
    <w:tmpl w:val="749AAD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331A3433"/>
    <w:multiLevelType w:val="multilevel"/>
    <w:tmpl w:val="799E16D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371D23C0"/>
    <w:multiLevelType w:val="hybridMultilevel"/>
    <w:tmpl w:val="2B5CF6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882F95"/>
    <w:multiLevelType w:val="hybridMultilevel"/>
    <w:tmpl w:val="425415D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F53B66"/>
    <w:multiLevelType w:val="hybridMultilevel"/>
    <w:tmpl w:val="C9AA00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3640293"/>
    <w:multiLevelType w:val="hybridMultilevel"/>
    <w:tmpl w:val="4286A28E"/>
    <w:lvl w:ilvl="0" w:tplc="5BE25DF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30150B"/>
    <w:multiLevelType w:val="hybridMultilevel"/>
    <w:tmpl w:val="15745A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0"/>
  </w:num>
  <w:num w:numId="5">
    <w:abstractNumId w:val="5"/>
  </w:num>
  <w:num w:numId="6">
    <w:abstractNumId w:val="7"/>
  </w:num>
  <w:num w:numId="7">
    <w:abstractNumId w:val="2"/>
    <w:lvlOverride w:ilvl="0">
      <w:startOverride w:val="1"/>
    </w:lvlOverride>
  </w:num>
  <w:num w:numId="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DBE"/>
    <w:rsid w:val="0000367B"/>
    <w:rsid w:val="000053DA"/>
    <w:rsid w:val="000128C7"/>
    <w:rsid w:val="00013CFC"/>
    <w:rsid w:val="00023B4E"/>
    <w:rsid w:val="00025FC8"/>
    <w:rsid w:val="00026005"/>
    <w:rsid w:val="00035E34"/>
    <w:rsid w:val="000468EB"/>
    <w:rsid w:val="000519A4"/>
    <w:rsid w:val="0005737A"/>
    <w:rsid w:val="00072ADB"/>
    <w:rsid w:val="00075B33"/>
    <w:rsid w:val="0008172F"/>
    <w:rsid w:val="0009061A"/>
    <w:rsid w:val="00093418"/>
    <w:rsid w:val="000938B8"/>
    <w:rsid w:val="000A5E48"/>
    <w:rsid w:val="000B04A8"/>
    <w:rsid w:val="000B3D16"/>
    <w:rsid w:val="000B460D"/>
    <w:rsid w:val="000C50B0"/>
    <w:rsid w:val="000C5ACC"/>
    <w:rsid w:val="000D48C8"/>
    <w:rsid w:val="000D7DB4"/>
    <w:rsid w:val="000E1DE7"/>
    <w:rsid w:val="000E3539"/>
    <w:rsid w:val="000E585C"/>
    <w:rsid w:val="000F385C"/>
    <w:rsid w:val="000F41BE"/>
    <w:rsid w:val="000F4D73"/>
    <w:rsid w:val="001133A5"/>
    <w:rsid w:val="00115391"/>
    <w:rsid w:val="00136241"/>
    <w:rsid w:val="001376D1"/>
    <w:rsid w:val="001707B1"/>
    <w:rsid w:val="001763E5"/>
    <w:rsid w:val="001825E6"/>
    <w:rsid w:val="001920D5"/>
    <w:rsid w:val="001B3998"/>
    <w:rsid w:val="001C6B78"/>
    <w:rsid w:val="001D5769"/>
    <w:rsid w:val="001E49A2"/>
    <w:rsid w:val="001E6F5F"/>
    <w:rsid w:val="001F249D"/>
    <w:rsid w:val="001F2E0C"/>
    <w:rsid w:val="001F3D99"/>
    <w:rsid w:val="001F7778"/>
    <w:rsid w:val="002036F1"/>
    <w:rsid w:val="00212CE6"/>
    <w:rsid w:val="00221A86"/>
    <w:rsid w:val="00232BE8"/>
    <w:rsid w:val="00253D46"/>
    <w:rsid w:val="00254220"/>
    <w:rsid w:val="00254E44"/>
    <w:rsid w:val="00255AD6"/>
    <w:rsid w:val="00261881"/>
    <w:rsid w:val="002742EB"/>
    <w:rsid w:val="00286B3F"/>
    <w:rsid w:val="00291AA8"/>
    <w:rsid w:val="00295500"/>
    <w:rsid w:val="002A2478"/>
    <w:rsid w:val="002A4DA2"/>
    <w:rsid w:val="002A6B7C"/>
    <w:rsid w:val="002B034B"/>
    <w:rsid w:val="002B494E"/>
    <w:rsid w:val="002B551F"/>
    <w:rsid w:val="002C3440"/>
    <w:rsid w:val="002D2124"/>
    <w:rsid w:val="002D57A9"/>
    <w:rsid w:val="002F4486"/>
    <w:rsid w:val="003044BB"/>
    <w:rsid w:val="00307051"/>
    <w:rsid w:val="00320F0C"/>
    <w:rsid w:val="00321FA3"/>
    <w:rsid w:val="0032236D"/>
    <w:rsid w:val="00323364"/>
    <w:rsid w:val="003237A5"/>
    <w:rsid w:val="00336127"/>
    <w:rsid w:val="003368CF"/>
    <w:rsid w:val="00342BDF"/>
    <w:rsid w:val="00344E00"/>
    <w:rsid w:val="003514DF"/>
    <w:rsid w:val="00353D48"/>
    <w:rsid w:val="003619BF"/>
    <w:rsid w:val="00363AD8"/>
    <w:rsid w:val="00363EDA"/>
    <w:rsid w:val="0036426B"/>
    <w:rsid w:val="00366D06"/>
    <w:rsid w:val="00374BD3"/>
    <w:rsid w:val="00375B01"/>
    <w:rsid w:val="003A52E9"/>
    <w:rsid w:val="003A6946"/>
    <w:rsid w:val="003A7E34"/>
    <w:rsid w:val="003B1C4C"/>
    <w:rsid w:val="003B4289"/>
    <w:rsid w:val="003B61A4"/>
    <w:rsid w:val="003C1879"/>
    <w:rsid w:val="003E4438"/>
    <w:rsid w:val="003E4887"/>
    <w:rsid w:val="003F0949"/>
    <w:rsid w:val="003F3CBB"/>
    <w:rsid w:val="0040211B"/>
    <w:rsid w:val="00405429"/>
    <w:rsid w:val="00407616"/>
    <w:rsid w:val="00410F1A"/>
    <w:rsid w:val="00412277"/>
    <w:rsid w:val="0041441A"/>
    <w:rsid w:val="00426ADB"/>
    <w:rsid w:val="00431F8A"/>
    <w:rsid w:val="0043249B"/>
    <w:rsid w:val="004337DA"/>
    <w:rsid w:val="00434810"/>
    <w:rsid w:val="004353B7"/>
    <w:rsid w:val="0046239C"/>
    <w:rsid w:val="00463B41"/>
    <w:rsid w:val="00467E1C"/>
    <w:rsid w:val="0047357B"/>
    <w:rsid w:val="00481DA9"/>
    <w:rsid w:val="004831E4"/>
    <w:rsid w:val="00493587"/>
    <w:rsid w:val="00497184"/>
    <w:rsid w:val="004A6368"/>
    <w:rsid w:val="004B3F41"/>
    <w:rsid w:val="004B7EAD"/>
    <w:rsid w:val="004D1292"/>
    <w:rsid w:val="004D6A01"/>
    <w:rsid w:val="004E29D0"/>
    <w:rsid w:val="004E2A3E"/>
    <w:rsid w:val="004E5519"/>
    <w:rsid w:val="004F276D"/>
    <w:rsid w:val="004F5C8F"/>
    <w:rsid w:val="00500407"/>
    <w:rsid w:val="00500EBE"/>
    <w:rsid w:val="00506771"/>
    <w:rsid w:val="00513AB8"/>
    <w:rsid w:val="00517A1B"/>
    <w:rsid w:val="0053514F"/>
    <w:rsid w:val="0053690F"/>
    <w:rsid w:val="0055179A"/>
    <w:rsid w:val="00555736"/>
    <w:rsid w:val="00562FC5"/>
    <w:rsid w:val="00563BA5"/>
    <w:rsid w:val="005870B6"/>
    <w:rsid w:val="00587657"/>
    <w:rsid w:val="0059206E"/>
    <w:rsid w:val="00592813"/>
    <w:rsid w:val="005953A6"/>
    <w:rsid w:val="005A5854"/>
    <w:rsid w:val="005A5A53"/>
    <w:rsid w:val="005B5606"/>
    <w:rsid w:val="005B5EE9"/>
    <w:rsid w:val="005D3D93"/>
    <w:rsid w:val="005D60BE"/>
    <w:rsid w:val="005E52AD"/>
    <w:rsid w:val="0060711C"/>
    <w:rsid w:val="00620BFD"/>
    <w:rsid w:val="0063317E"/>
    <w:rsid w:val="006360E3"/>
    <w:rsid w:val="0063710A"/>
    <w:rsid w:val="00640489"/>
    <w:rsid w:val="006455BF"/>
    <w:rsid w:val="0064573B"/>
    <w:rsid w:val="00654777"/>
    <w:rsid w:val="00661EC6"/>
    <w:rsid w:val="006674F8"/>
    <w:rsid w:val="006748AE"/>
    <w:rsid w:val="00686A67"/>
    <w:rsid w:val="00697E99"/>
    <w:rsid w:val="006E252C"/>
    <w:rsid w:val="006E2727"/>
    <w:rsid w:val="006F3E6B"/>
    <w:rsid w:val="006F7ECD"/>
    <w:rsid w:val="00700034"/>
    <w:rsid w:val="00713222"/>
    <w:rsid w:val="007375BC"/>
    <w:rsid w:val="00752C8E"/>
    <w:rsid w:val="007817B1"/>
    <w:rsid w:val="00783698"/>
    <w:rsid w:val="00785C0C"/>
    <w:rsid w:val="00786225"/>
    <w:rsid w:val="007930E0"/>
    <w:rsid w:val="00794B76"/>
    <w:rsid w:val="007A44A4"/>
    <w:rsid w:val="007A473D"/>
    <w:rsid w:val="007B19D5"/>
    <w:rsid w:val="007B4739"/>
    <w:rsid w:val="007B5026"/>
    <w:rsid w:val="007B671A"/>
    <w:rsid w:val="007D090F"/>
    <w:rsid w:val="007D344D"/>
    <w:rsid w:val="007E255E"/>
    <w:rsid w:val="007E25FB"/>
    <w:rsid w:val="007E379D"/>
    <w:rsid w:val="007E38FE"/>
    <w:rsid w:val="007F5095"/>
    <w:rsid w:val="008015E0"/>
    <w:rsid w:val="008028FD"/>
    <w:rsid w:val="008052ED"/>
    <w:rsid w:val="00805547"/>
    <w:rsid w:val="0080773A"/>
    <w:rsid w:val="008107A8"/>
    <w:rsid w:val="008156BD"/>
    <w:rsid w:val="00830B60"/>
    <w:rsid w:val="0083287A"/>
    <w:rsid w:val="0083390A"/>
    <w:rsid w:val="00837049"/>
    <w:rsid w:val="0085389B"/>
    <w:rsid w:val="0085530F"/>
    <w:rsid w:val="00857895"/>
    <w:rsid w:val="00857AF7"/>
    <w:rsid w:val="00864599"/>
    <w:rsid w:val="00874647"/>
    <w:rsid w:val="00881E8C"/>
    <w:rsid w:val="00884559"/>
    <w:rsid w:val="00893BA3"/>
    <w:rsid w:val="008A329C"/>
    <w:rsid w:val="008B0F12"/>
    <w:rsid w:val="008B7C0B"/>
    <w:rsid w:val="008C5D58"/>
    <w:rsid w:val="008C7130"/>
    <w:rsid w:val="008C7AAE"/>
    <w:rsid w:val="008D2BE0"/>
    <w:rsid w:val="008E4132"/>
    <w:rsid w:val="008F700C"/>
    <w:rsid w:val="008F7F51"/>
    <w:rsid w:val="00906739"/>
    <w:rsid w:val="00921BBD"/>
    <w:rsid w:val="00921D6A"/>
    <w:rsid w:val="00922CBE"/>
    <w:rsid w:val="00927755"/>
    <w:rsid w:val="009334D6"/>
    <w:rsid w:val="00935754"/>
    <w:rsid w:val="00941437"/>
    <w:rsid w:val="00950DD6"/>
    <w:rsid w:val="00956DD3"/>
    <w:rsid w:val="00963B6D"/>
    <w:rsid w:val="009815EE"/>
    <w:rsid w:val="00994124"/>
    <w:rsid w:val="009A2C7E"/>
    <w:rsid w:val="009A7C83"/>
    <w:rsid w:val="009B3F45"/>
    <w:rsid w:val="009C5D00"/>
    <w:rsid w:val="009C62D5"/>
    <w:rsid w:val="009D4D9B"/>
    <w:rsid w:val="009E762B"/>
    <w:rsid w:val="009E7FCD"/>
    <w:rsid w:val="009F7324"/>
    <w:rsid w:val="00A13FD0"/>
    <w:rsid w:val="00A152D4"/>
    <w:rsid w:val="00A214A0"/>
    <w:rsid w:val="00A43AC6"/>
    <w:rsid w:val="00A452BB"/>
    <w:rsid w:val="00A53055"/>
    <w:rsid w:val="00A55EEF"/>
    <w:rsid w:val="00A56B9A"/>
    <w:rsid w:val="00A570CC"/>
    <w:rsid w:val="00A57C3D"/>
    <w:rsid w:val="00A736D2"/>
    <w:rsid w:val="00A803A4"/>
    <w:rsid w:val="00A91066"/>
    <w:rsid w:val="00A94740"/>
    <w:rsid w:val="00A94848"/>
    <w:rsid w:val="00A94A5F"/>
    <w:rsid w:val="00AB20D0"/>
    <w:rsid w:val="00AC0BB1"/>
    <w:rsid w:val="00AD18F8"/>
    <w:rsid w:val="00AD299A"/>
    <w:rsid w:val="00AD4685"/>
    <w:rsid w:val="00AE0058"/>
    <w:rsid w:val="00AF3A52"/>
    <w:rsid w:val="00B059D6"/>
    <w:rsid w:val="00B1732A"/>
    <w:rsid w:val="00B268FD"/>
    <w:rsid w:val="00B451BA"/>
    <w:rsid w:val="00B45B7D"/>
    <w:rsid w:val="00B479E9"/>
    <w:rsid w:val="00B53DEE"/>
    <w:rsid w:val="00B61DB4"/>
    <w:rsid w:val="00B62E10"/>
    <w:rsid w:val="00B72A06"/>
    <w:rsid w:val="00B73ED1"/>
    <w:rsid w:val="00B84B9E"/>
    <w:rsid w:val="00B85D49"/>
    <w:rsid w:val="00B90F25"/>
    <w:rsid w:val="00B93045"/>
    <w:rsid w:val="00B96E48"/>
    <w:rsid w:val="00B97E0B"/>
    <w:rsid w:val="00BA086D"/>
    <w:rsid w:val="00BA1E26"/>
    <w:rsid w:val="00BA2B7C"/>
    <w:rsid w:val="00BA56BB"/>
    <w:rsid w:val="00BB1E14"/>
    <w:rsid w:val="00BC1A72"/>
    <w:rsid w:val="00BC786D"/>
    <w:rsid w:val="00BD042A"/>
    <w:rsid w:val="00BD3D2A"/>
    <w:rsid w:val="00BD7DBE"/>
    <w:rsid w:val="00BE4A3E"/>
    <w:rsid w:val="00BE562C"/>
    <w:rsid w:val="00BE6E17"/>
    <w:rsid w:val="00C01F27"/>
    <w:rsid w:val="00C0713A"/>
    <w:rsid w:val="00C1593B"/>
    <w:rsid w:val="00C15E86"/>
    <w:rsid w:val="00C209F9"/>
    <w:rsid w:val="00C21216"/>
    <w:rsid w:val="00C21FA4"/>
    <w:rsid w:val="00C305D1"/>
    <w:rsid w:val="00C30B60"/>
    <w:rsid w:val="00C3410E"/>
    <w:rsid w:val="00C43D5C"/>
    <w:rsid w:val="00C6310F"/>
    <w:rsid w:val="00C84389"/>
    <w:rsid w:val="00C90E99"/>
    <w:rsid w:val="00C968FA"/>
    <w:rsid w:val="00CA68DA"/>
    <w:rsid w:val="00CB2CBB"/>
    <w:rsid w:val="00CC49D9"/>
    <w:rsid w:val="00CD5526"/>
    <w:rsid w:val="00CE351D"/>
    <w:rsid w:val="00CE5D1C"/>
    <w:rsid w:val="00CF782A"/>
    <w:rsid w:val="00D077F0"/>
    <w:rsid w:val="00D14BE2"/>
    <w:rsid w:val="00D4238F"/>
    <w:rsid w:val="00D4591A"/>
    <w:rsid w:val="00D46CF8"/>
    <w:rsid w:val="00D546EF"/>
    <w:rsid w:val="00D57EB9"/>
    <w:rsid w:val="00D67FAB"/>
    <w:rsid w:val="00D7542A"/>
    <w:rsid w:val="00D80150"/>
    <w:rsid w:val="00D84D34"/>
    <w:rsid w:val="00D90881"/>
    <w:rsid w:val="00D93BF8"/>
    <w:rsid w:val="00DB66A8"/>
    <w:rsid w:val="00DB7CC9"/>
    <w:rsid w:val="00DC1352"/>
    <w:rsid w:val="00DC17CB"/>
    <w:rsid w:val="00DD0815"/>
    <w:rsid w:val="00DD3C96"/>
    <w:rsid w:val="00DE051D"/>
    <w:rsid w:val="00DE12C2"/>
    <w:rsid w:val="00DE6094"/>
    <w:rsid w:val="00DF1EE8"/>
    <w:rsid w:val="00E01010"/>
    <w:rsid w:val="00E02F5E"/>
    <w:rsid w:val="00E06194"/>
    <w:rsid w:val="00E11446"/>
    <w:rsid w:val="00E225FF"/>
    <w:rsid w:val="00E25F34"/>
    <w:rsid w:val="00E262C0"/>
    <w:rsid w:val="00E36F33"/>
    <w:rsid w:val="00E43AE6"/>
    <w:rsid w:val="00E50F27"/>
    <w:rsid w:val="00E604C7"/>
    <w:rsid w:val="00E6076A"/>
    <w:rsid w:val="00E62DE9"/>
    <w:rsid w:val="00E634AD"/>
    <w:rsid w:val="00E648A5"/>
    <w:rsid w:val="00E66CE5"/>
    <w:rsid w:val="00E67B68"/>
    <w:rsid w:val="00E7127F"/>
    <w:rsid w:val="00E71E9E"/>
    <w:rsid w:val="00E865EB"/>
    <w:rsid w:val="00E94E59"/>
    <w:rsid w:val="00EA12E6"/>
    <w:rsid w:val="00EA216D"/>
    <w:rsid w:val="00EA4D91"/>
    <w:rsid w:val="00EB0840"/>
    <w:rsid w:val="00EB3F58"/>
    <w:rsid w:val="00EB511C"/>
    <w:rsid w:val="00EB7A5F"/>
    <w:rsid w:val="00ED576D"/>
    <w:rsid w:val="00EE225F"/>
    <w:rsid w:val="00EE4E4F"/>
    <w:rsid w:val="00EE5081"/>
    <w:rsid w:val="00EE51A1"/>
    <w:rsid w:val="00EF08C7"/>
    <w:rsid w:val="00EF4D63"/>
    <w:rsid w:val="00F00023"/>
    <w:rsid w:val="00F0294C"/>
    <w:rsid w:val="00F06C6F"/>
    <w:rsid w:val="00F07FDB"/>
    <w:rsid w:val="00F10871"/>
    <w:rsid w:val="00F1336D"/>
    <w:rsid w:val="00F315D9"/>
    <w:rsid w:val="00F3646A"/>
    <w:rsid w:val="00F41DDE"/>
    <w:rsid w:val="00F70D34"/>
    <w:rsid w:val="00F70FAF"/>
    <w:rsid w:val="00F71A23"/>
    <w:rsid w:val="00F76416"/>
    <w:rsid w:val="00F77DF7"/>
    <w:rsid w:val="00F90FA9"/>
    <w:rsid w:val="00F9192C"/>
    <w:rsid w:val="00FA058F"/>
    <w:rsid w:val="00FA1A0D"/>
    <w:rsid w:val="00FA1D66"/>
    <w:rsid w:val="00FA48DB"/>
    <w:rsid w:val="00FA7D60"/>
    <w:rsid w:val="00FB0266"/>
    <w:rsid w:val="00FB191D"/>
    <w:rsid w:val="00FC388F"/>
    <w:rsid w:val="00FC416A"/>
    <w:rsid w:val="00FC4836"/>
    <w:rsid w:val="00FE057E"/>
    <w:rsid w:val="00FF4401"/>
    <w:rsid w:val="00FF7C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8B12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094"/>
    <w:pPr>
      <w:widowControl w:val="0"/>
      <w:spacing w:after="0" w:line="240" w:lineRule="auto"/>
    </w:pPr>
    <w:rPr>
      <w:rFonts w:ascii="Times New Roman" w:eastAsia="Times New Roman" w:hAnsi="Times New Roman"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E6094"/>
    <w:pPr>
      <w:widowControl/>
      <w:tabs>
        <w:tab w:val="center" w:pos="4320"/>
        <w:tab w:val="right" w:pos="8640"/>
      </w:tabs>
    </w:pPr>
    <w:rPr>
      <w:snapToGrid/>
    </w:rPr>
  </w:style>
  <w:style w:type="character" w:customStyle="1" w:styleId="FooterChar">
    <w:name w:val="Footer Char"/>
    <w:basedOn w:val="DefaultParagraphFont"/>
    <w:link w:val="Footer"/>
    <w:uiPriority w:val="99"/>
    <w:rsid w:val="00DE6094"/>
    <w:rPr>
      <w:rFonts w:ascii="Times New Roman" w:eastAsia="Times New Roman" w:hAnsi="Times New Roman" w:cs="Times New Roman"/>
      <w:sz w:val="24"/>
      <w:szCs w:val="20"/>
    </w:rPr>
  </w:style>
  <w:style w:type="paragraph" w:styleId="ListParagraph">
    <w:name w:val="List Paragraph"/>
    <w:basedOn w:val="Normal"/>
    <w:uiPriority w:val="34"/>
    <w:qFormat/>
    <w:rsid w:val="00F06C6F"/>
    <w:pPr>
      <w:ind w:left="720"/>
      <w:contextualSpacing/>
    </w:pPr>
  </w:style>
  <w:style w:type="character" w:customStyle="1" w:styleId="apple-converted-space">
    <w:name w:val="apple-converted-space"/>
    <w:basedOn w:val="DefaultParagraphFont"/>
    <w:rsid w:val="00E11446"/>
  </w:style>
  <w:style w:type="paragraph" w:styleId="Header">
    <w:name w:val="header"/>
    <w:basedOn w:val="Normal"/>
    <w:link w:val="HeaderChar"/>
    <w:uiPriority w:val="99"/>
    <w:unhideWhenUsed/>
    <w:rsid w:val="003F3CBB"/>
    <w:pPr>
      <w:tabs>
        <w:tab w:val="center" w:pos="4680"/>
        <w:tab w:val="right" w:pos="9360"/>
      </w:tabs>
    </w:pPr>
  </w:style>
  <w:style w:type="character" w:customStyle="1" w:styleId="HeaderChar">
    <w:name w:val="Header Char"/>
    <w:basedOn w:val="DefaultParagraphFont"/>
    <w:link w:val="Header"/>
    <w:uiPriority w:val="99"/>
    <w:rsid w:val="003F3CBB"/>
    <w:rPr>
      <w:rFonts w:ascii="Times New Roman" w:eastAsia="Times New Roman" w:hAnsi="Times New Roman" w:cs="Times New Roman"/>
      <w:snapToGrid w:val="0"/>
      <w:sz w:val="24"/>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094"/>
    <w:pPr>
      <w:widowControl w:val="0"/>
      <w:spacing w:after="0" w:line="240" w:lineRule="auto"/>
    </w:pPr>
    <w:rPr>
      <w:rFonts w:ascii="Times New Roman" w:eastAsia="Times New Roman" w:hAnsi="Times New Roman"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E6094"/>
    <w:pPr>
      <w:widowControl/>
      <w:tabs>
        <w:tab w:val="center" w:pos="4320"/>
        <w:tab w:val="right" w:pos="8640"/>
      </w:tabs>
    </w:pPr>
    <w:rPr>
      <w:snapToGrid/>
    </w:rPr>
  </w:style>
  <w:style w:type="character" w:customStyle="1" w:styleId="FooterChar">
    <w:name w:val="Footer Char"/>
    <w:basedOn w:val="DefaultParagraphFont"/>
    <w:link w:val="Footer"/>
    <w:uiPriority w:val="99"/>
    <w:rsid w:val="00DE6094"/>
    <w:rPr>
      <w:rFonts w:ascii="Times New Roman" w:eastAsia="Times New Roman" w:hAnsi="Times New Roman" w:cs="Times New Roman"/>
      <w:sz w:val="24"/>
      <w:szCs w:val="20"/>
    </w:rPr>
  </w:style>
  <w:style w:type="paragraph" w:styleId="ListParagraph">
    <w:name w:val="List Paragraph"/>
    <w:basedOn w:val="Normal"/>
    <w:uiPriority w:val="34"/>
    <w:qFormat/>
    <w:rsid w:val="00F06C6F"/>
    <w:pPr>
      <w:ind w:left="720"/>
      <w:contextualSpacing/>
    </w:pPr>
  </w:style>
  <w:style w:type="character" w:customStyle="1" w:styleId="apple-converted-space">
    <w:name w:val="apple-converted-space"/>
    <w:basedOn w:val="DefaultParagraphFont"/>
    <w:rsid w:val="00E11446"/>
  </w:style>
  <w:style w:type="paragraph" w:styleId="Header">
    <w:name w:val="header"/>
    <w:basedOn w:val="Normal"/>
    <w:link w:val="HeaderChar"/>
    <w:uiPriority w:val="99"/>
    <w:unhideWhenUsed/>
    <w:rsid w:val="003F3CBB"/>
    <w:pPr>
      <w:tabs>
        <w:tab w:val="center" w:pos="4680"/>
        <w:tab w:val="right" w:pos="9360"/>
      </w:tabs>
    </w:pPr>
  </w:style>
  <w:style w:type="character" w:customStyle="1" w:styleId="HeaderChar">
    <w:name w:val="Header Char"/>
    <w:basedOn w:val="DefaultParagraphFont"/>
    <w:link w:val="Header"/>
    <w:uiPriority w:val="99"/>
    <w:rsid w:val="003F3CBB"/>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878324">
      <w:bodyDiv w:val="1"/>
      <w:marLeft w:val="0"/>
      <w:marRight w:val="0"/>
      <w:marTop w:val="0"/>
      <w:marBottom w:val="0"/>
      <w:divBdr>
        <w:top w:val="none" w:sz="0" w:space="0" w:color="auto"/>
        <w:left w:val="none" w:sz="0" w:space="0" w:color="auto"/>
        <w:bottom w:val="none" w:sz="0" w:space="0" w:color="auto"/>
        <w:right w:val="none" w:sz="0" w:space="0" w:color="auto"/>
      </w:divBdr>
    </w:div>
    <w:div w:id="128982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7F779-753A-8646-845A-0AFAE30D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4806</Words>
  <Characters>24084</Characters>
  <Application>Microsoft Macintosh Word</Application>
  <DocSecurity>0</DocSecurity>
  <Lines>376</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2012-04-15T14:06:00Z</dcterms:created>
  <dcterms:modified xsi:type="dcterms:W3CDTF">2012-06-02T13:22:00Z</dcterms:modified>
  <cp:category/>
</cp:coreProperties>
</file>